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049C5" w14:textId="77777777" w:rsidR="007E2121" w:rsidRPr="005E1F9B" w:rsidRDefault="00C155A8" w:rsidP="005E1F9B">
      <w:pPr>
        <w:pStyle w:val="a5"/>
        <w:rPr>
          <w:b/>
          <w:bCs/>
          <w:sz w:val="32"/>
          <w:szCs w:val="32"/>
        </w:rPr>
      </w:pPr>
      <w:r w:rsidRPr="005E1F9B">
        <w:rPr>
          <w:rFonts w:hint="eastAsia"/>
          <w:b/>
          <w:bCs/>
          <w:sz w:val="32"/>
          <w:szCs w:val="32"/>
        </w:rPr>
        <w:t>江苏中利集团股份有限公司</w:t>
      </w:r>
    </w:p>
    <w:p w14:paraId="27BACA55" w14:textId="77777777" w:rsidR="007E2121" w:rsidRPr="005E1F9B" w:rsidRDefault="00C155A8" w:rsidP="005E1F9B">
      <w:pPr>
        <w:pStyle w:val="a5"/>
        <w:rPr>
          <w:b/>
          <w:bCs/>
          <w:sz w:val="32"/>
          <w:szCs w:val="32"/>
        </w:rPr>
      </w:pPr>
      <w:r w:rsidRPr="005E1F9B">
        <w:rPr>
          <w:b/>
          <w:bCs/>
          <w:sz w:val="32"/>
          <w:szCs w:val="32"/>
        </w:rPr>
        <w:t>董事会薪酬与考核委员会实施细则</w:t>
      </w:r>
    </w:p>
    <w:p w14:paraId="43F0E875" w14:textId="77777777" w:rsidR="007E2121" w:rsidRDefault="007E2121">
      <w:pPr>
        <w:autoSpaceDE w:val="0"/>
        <w:autoSpaceDN w:val="0"/>
        <w:adjustRightInd w:val="0"/>
        <w:spacing w:line="360" w:lineRule="auto"/>
        <w:ind w:firstLineChars="200" w:firstLine="883"/>
        <w:jc w:val="center"/>
        <w:rPr>
          <w:rFonts w:ascii="宋体" w:hAnsi="宋体"/>
          <w:b/>
          <w:bCs/>
          <w:kern w:val="0"/>
          <w:sz w:val="44"/>
          <w:szCs w:val="44"/>
        </w:rPr>
      </w:pPr>
    </w:p>
    <w:p w14:paraId="0C12B895" w14:textId="77777777" w:rsidR="007E2121" w:rsidRDefault="00C155A8" w:rsidP="00B52740">
      <w:pPr>
        <w:numPr>
          <w:ilvl w:val="0"/>
          <w:numId w:val="1"/>
        </w:numPr>
        <w:spacing w:afterLines="50" w:after="156" w:line="360" w:lineRule="auto"/>
        <w:ind w:left="0" w:firstLine="0"/>
        <w:jc w:val="center"/>
        <w:rPr>
          <w:rFonts w:ascii="宋体" w:hAnsi="宋体"/>
          <w:color w:val="000000"/>
          <w:kern w:val="0"/>
          <w:sz w:val="24"/>
        </w:rPr>
      </w:pPr>
      <w:r>
        <w:rPr>
          <w:rFonts w:ascii="宋体" w:hAnsi="宋体" w:hint="eastAsia"/>
          <w:b/>
          <w:bCs/>
          <w:color w:val="000000"/>
          <w:kern w:val="0"/>
          <w:sz w:val="24"/>
        </w:rPr>
        <w:t>总则</w:t>
      </w:r>
    </w:p>
    <w:p w14:paraId="453FEB12" w14:textId="267485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为进一步建立健全公司董事（非独立董事）及高级管理人员的考核和薪酬管理制度,完善公司治理结构,</w:t>
      </w:r>
      <w:r w:rsidR="00AE0BCB">
        <w:rPr>
          <w:rFonts w:ascii="宋体" w:hAnsi="宋体" w:hint="eastAsia"/>
          <w:color w:val="000000"/>
          <w:kern w:val="0"/>
          <w:sz w:val="24"/>
        </w:rPr>
        <w:t>根据《中华人民共和国公司法》《江苏中利集团股份有限公司章程》及其他等相关规定</w:t>
      </w:r>
      <w:r>
        <w:rPr>
          <w:rFonts w:ascii="宋体" w:hAnsi="宋体" w:hint="eastAsia"/>
          <w:color w:val="000000"/>
          <w:kern w:val="0"/>
          <w:sz w:val="24"/>
        </w:rPr>
        <w:t>，</w:t>
      </w:r>
      <w:r>
        <w:rPr>
          <w:rFonts w:ascii="宋体" w:hAnsi="宋体"/>
          <w:color w:val="000000"/>
          <w:kern w:val="0"/>
          <w:sz w:val="24"/>
        </w:rPr>
        <w:t>特制定本细则。</w:t>
      </w:r>
    </w:p>
    <w:p w14:paraId="4029DB32"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薪酬与考核委员会是董事会按照</w:t>
      </w:r>
      <w:r>
        <w:rPr>
          <w:rFonts w:ascii="宋体" w:hAnsi="宋体" w:hint="eastAsia"/>
          <w:color w:val="000000"/>
          <w:kern w:val="0"/>
          <w:sz w:val="24"/>
        </w:rPr>
        <w:t>公司章程规定</w:t>
      </w:r>
      <w:r>
        <w:rPr>
          <w:rFonts w:ascii="宋体" w:hAnsi="宋体"/>
          <w:color w:val="000000"/>
          <w:kern w:val="0"/>
          <w:sz w:val="24"/>
        </w:rPr>
        <w:t>设立的专门工作机构</w:t>
      </w:r>
      <w:r>
        <w:rPr>
          <w:rFonts w:ascii="宋体" w:hAnsi="宋体" w:hint="eastAsia"/>
          <w:color w:val="000000"/>
          <w:kern w:val="0"/>
          <w:sz w:val="24"/>
        </w:rPr>
        <w:t>，对董事会负责</w:t>
      </w:r>
      <w:r>
        <w:rPr>
          <w:rFonts w:ascii="宋体" w:hAnsi="宋体"/>
          <w:color w:val="000000"/>
          <w:kern w:val="0"/>
          <w:sz w:val="24"/>
        </w:rPr>
        <w:t>。</w:t>
      </w:r>
    </w:p>
    <w:p w14:paraId="20CAD5D9"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本细则所称董事是指在本公司支取薪酬的董事长、董事；</w:t>
      </w:r>
      <w:r>
        <w:rPr>
          <w:rFonts w:ascii="宋体" w:hAnsi="宋体" w:hint="eastAsia"/>
          <w:color w:val="000000"/>
          <w:kern w:val="0"/>
          <w:sz w:val="24"/>
        </w:rPr>
        <w:t>高级管理</w:t>
      </w:r>
      <w:r>
        <w:rPr>
          <w:rFonts w:ascii="宋体" w:hAnsi="宋体"/>
          <w:color w:val="000000"/>
          <w:kern w:val="0"/>
          <w:sz w:val="24"/>
        </w:rPr>
        <w:t>人员是指董事会聘任的</w:t>
      </w:r>
      <w:r>
        <w:rPr>
          <w:rFonts w:ascii="宋体" w:hAnsi="宋体" w:hint="eastAsia"/>
          <w:color w:val="000000"/>
          <w:kern w:val="0"/>
          <w:sz w:val="24"/>
        </w:rPr>
        <w:t>总经理</w:t>
      </w:r>
      <w:r>
        <w:rPr>
          <w:rFonts w:ascii="宋体" w:hAnsi="宋体"/>
          <w:color w:val="000000"/>
          <w:kern w:val="0"/>
          <w:sz w:val="24"/>
        </w:rPr>
        <w:t>、</w:t>
      </w:r>
      <w:r>
        <w:rPr>
          <w:rFonts w:ascii="宋体" w:hAnsi="宋体" w:hint="eastAsia"/>
          <w:color w:val="000000"/>
          <w:kern w:val="0"/>
          <w:sz w:val="24"/>
        </w:rPr>
        <w:t>副总</w:t>
      </w:r>
      <w:r>
        <w:rPr>
          <w:rFonts w:ascii="宋体" w:hAnsi="宋体"/>
          <w:color w:val="000000"/>
          <w:kern w:val="0"/>
          <w:sz w:val="24"/>
        </w:rPr>
        <w:t>经理、董事会秘书</w:t>
      </w:r>
      <w:r>
        <w:rPr>
          <w:rFonts w:ascii="宋体" w:hAnsi="宋体" w:hint="eastAsia"/>
          <w:color w:val="000000"/>
          <w:kern w:val="0"/>
          <w:sz w:val="24"/>
        </w:rPr>
        <w:t>、财务总监</w:t>
      </w:r>
      <w:r>
        <w:rPr>
          <w:rFonts w:ascii="宋体" w:hAnsi="宋体"/>
          <w:color w:val="000000"/>
          <w:kern w:val="0"/>
          <w:sz w:val="24"/>
        </w:rPr>
        <w:t>及由</w:t>
      </w:r>
      <w:r>
        <w:rPr>
          <w:rFonts w:ascii="宋体" w:hAnsi="宋体" w:hint="eastAsia"/>
          <w:color w:val="000000"/>
          <w:kern w:val="0"/>
          <w:sz w:val="24"/>
        </w:rPr>
        <w:t>总</w:t>
      </w:r>
      <w:r>
        <w:rPr>
          <w:rFonts w:ascii="宋体" w:hAnsi="宋体"/>
          <w:color w:val="000000"/>
          <w:kern w:val="0"/>
          <w:sz w:val="24"/>
        </w:rPr>
        <w:t>经理提请董事会认定的其他高级管理人员。</w:t>
      </w:r>
    </w:p>
    <w:p w14:paraId="207AA0A7" w14:textId="77777777" w:rsidR="007E2121" w:rsidRDefault="007E2121">
      <w:pPr>
        <w:autoSpaceDE w:val="0"/>
        <w:autoSpaceDN w:val="0"/>
        <w:adjustRightInd w:val="0"/>
        <w:spacing w:line="360" w:lineRule="auto"/>
        <w:ind w:firstLineChars="200" w:firstLine="480"/>
        <w:jc w:val="left"/>
        <w:rPr>
          <w:rFonts w:ascii="宋体" w:hAnsi="宋体"/>
          <w:color w:val="000000"/>
          <w:kern w:val="0"/>
          <w:sz w:val="24"/>
        </w:rPr>
      </w:pPr>
    </w:p>
    <w:p w14:paraId="1B71F0B3" w14:textId="77777777" w:rsidR="007E2121" w:rsidRDefault="00C155A8" w:rsidP="00B52740">
      <w:pPr>
        <w:numPr>
          <w:ilvl w:val="0"/>
          <w:numId w:val="1"/>
        </w:numPr>
        <w:spacing w:afterLines="50" w:after="156" w:line="360" w:lineRule="auto"/>
        <w:ind w:left="0" w:firstLine="0"/>
        <w:jc w:val="center"/>
        <w:rPr>
          <w:rFonts w:ascii="宋体" w:hAnsi="宋体"/>
          <w:color w:val="000000"/>
          <w:kern w:val="0"/>
          <w:sz w:val="24"/>
        </w:rPr>
      </w:pPr>
      <w:r>
        <w:rPr>
          <w:rFonts w:ascii="宋体" w:hAnsi="宋体" w:hint="eastAsia"/>
          <w:b/>
          <w:bCs/>
          <w:color w:val="000000"/>
          <w:kern w:val="0"/>
          <w:sz w:val="24"/>
        </w:rPr>
        <w:t>人员组成</w:t>
      </w:r>
    </w:p>
    <w:p w14:paraId="7D2BC82F"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薪酬与考核委员会成员由三名董事组成,独立董事占多数。</w:t>
      </w:r>
    </w:p>
    <w:p w14:paraId="13ABA604"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薪酬与考核委员会委员由董事长、二分之一以上独立董事或者全体董事的三分之一提名,并由董事会选举产生。</w:t>
      </w:r>
    </w:p>
    <w:p w14:paraId="3B0CB382"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薪酬与考核委员会设主任委员（召集人）一名,由独立董事委员担任,负责主持委员会工作；主任委员在委员内选举,并报请董事会批准产生。</w:t>
      </w:r>
    </w:p>
    <w:p w14:paraId="714F43B6"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薪酬与考核委员会任期与董事会任期一致,委员任期届满,连选可以连任。期间如有委员不再担任公司董事职务,自动失去委员资格,并由董事会根据上述第四至第六条规定补足委员人数。</w:t>
      </w:r>
    </w:p>
    <w:p w14:paraId="08E593E2"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薪酬与考核委员会下设工作组,</w:t>
      </w:r>
      <w:r>
        <w:rPr>
          <w:rFonts w:ascii="宋体" w:hAnsi="宋体" w:hint="eastAsia"/>
          <w:color w:val="000000"/>
          <w:kern w:val="0"/>
          <w:sz w:val="24"/>
        </w:rPr>
        <w:t>由人力资源部成员组成，</w:t>
      </w:r>
      <w:r>
        <w:rPr>
          <w:rFonts w:ascii="宋体" w:hAnsi="宋体"/>
          <w:color w:val="000000"/>
          <w:kern w:val="0"/>
          <w:sz w:val="24"/>
        </w:rPr>
        <w:t>专门负责提供公司有关经营方面的资料及被考评人员的有关资料,负责筹备薪酬与考核委员会会议并执行薪酬与考核委员会的有关决议。</w:t>
      </w:r>
    </w:p>
    <w:p w14:paraId="6A66F4D4" w14:textId="77777777" w:rsidR="007E2121" w:rsidRDefault="007E2121">
      <w:pPr>
        <w:autoSpaceDE w:val="0"/>
        <w:autoSpaceDN w:val="0"/>
        <w:adjustRightInd w:val="0"/>
        <w:spacing w:line="360" w:lineRule="auto"/>
        <w:ind w:firstLineChars="200" w:firstLine="480"/>
        <w:jc w:val="left"/>
        <w:rPr>
          <w:rFonts w:ascii="宋体" w:hAnsi="宋体"/>
          <w:color w:val="000000"/>
          <w:kern w:val="0"/>
          <w:sz w:val="24"/>
        </w:rPr>
      </w:pPr>
    </w:p>
    <w:p w14:paraId="0ACB5DE8" w14:textId="77777777" w:rsidR="007E2121" w:rsidRDefault="00C155A8" w:rsidP="00B52740">
      <w:pPr>
        <w:numPr>
          <w:ilvl w:val="0"/>
          <w:numId w:val="1"/>
        </w:numPr>
        <w:spacing w:afterLines="50" w:after="156" w:line="360" w:lineRule="auto"/>
        <w:ind w:left="0" w:firstLine="0"/>
        <w:jc w:val="center"/>
        <w:rPr>
          <w:rFonts w:ascii="宋体" w:hAnsi="宋体"/>
          <w:b/>
          <w:bCs/>
          <w:color w:val="000000"/>
          <w:kern w:val="0"/>
          <w:sz w:val="24"/>
        </w:rPr>
      </w:pPr>
      <w:r>
        <w:rPr>
          <w:rFonts w:ascii="宋体" w:hAnsi="宋体" w:hint="eastAsia"/>
          <w:b/>
          <w:bCs/>
          <w:color w:val="000000"/>
          <w:kern w:val="0"/>
          <w:sz w:val="24"/>
        </w:rPr>
        <w:t>职责权限</w:t>
      </w:r>
    </w:p>
    <w:p w14:paraId="36DE4E8B"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lastRenderedPageBreak/>
        <w:t>薪酬与考核委员会的主要职责权限：</w:t>
      </w:r>
    </w:p>
    <w:p w14:paraId="09780C5B" w14:textId="5F30F8CD" w:rsidR="007E2121" w:rsidRPr="00BB27F2" w:rsidRDefault="00C155A8" w:rsidP="00BB27F2">
      <w:pPr>
        <w:pStyle w:val="af"/>
        <w:numPr>
          <w:ilvl w:val="0"/>
          <w:numId w:val="3"/>
        </w:numPr>
        <w:tabs>
          <w:tab w:val="left" w:pos="780"/>
          <w:tab w:val="left" w:pos="1276"/>
        </w:tabs>
        <w:autoSpaceDE w:val="0"/>
        <w:autoSpaceDN w:val="0"/>
        <w:adjustRightInd w:val="0"/>
        <w:spacing w:line="360" w:lineRule="auto"/>
        <w:ind w:firstLineChars="0"/>
        <w:rPr>
          <w:rFonts w:ascii="宋体" w:hAnsi="宋体"/>
          <w:vanish/>
          <w:color w:val="000000"/>
          <w:kern w:val="0"/>
          <w:sz w:val="24"/>
        </w:rPr>
      </w:pPr>
      <w:r w:rsidRPr="00BB27F2">
        <w:rPr>
          <w:rFonts w:ascii="宋体" w:hAnsi="宋体" w:hint="eastAsia"/>
          <w:color w:val="000000"/>
          <w:kern w:val="0"/>
          <w:sz w:val="24"/>
        </w:rPr>
        <w:t>负责制定董事、</w:t>
      </w:r>
      <w:r w:rsidR="00B52740">
        <w:rPr>
          <w:rFonts w:ascii="宋体" w:hAnsi="宋体" w:hint="eastAsia"/>
          <w:color w:val="000000"/>
          <w:kern w:val="0"/>
          <w:sz w:val="24"/>
        </w:rPr>
        <w:t>高级管理</w:t>
      </w:r>
      <w:r w:rsidRPr="00BB27F2">
        <w:rPr>
          <w:rFonts w:ascii="宋体" w:hAnsi="宋体" w:hint="eastAsia"/>
          <w:color w:val="000000"/>
          <w:kern w:val="0"/>
          <w:sz w:val="24"/>
        </w:rPr>
        <w:t>人员考核标准，并进行考核；</w:t>
      </w:r>
    </w:p>
    <w:p w14:paraId="5D7EBB13" w14:textId="74C5B0C1" w:rsidR="00BB27F2" w:rsidRDefault="00C155A8" w:rsidP="00BB27F2">
      <w:pPr>
        <w:numPr>
          <w:ilvl w:val="1"/>
          <w:numId w:val="2"/>
        </w:numPr>
        <w:autoSpaceDE w:val="0"/>
        <w:autoSpaceDN w:val="0"/>
        <w:adjustRightInd w:val="0"/>
        <w:spacing w:line="360" w:lineRule="auto"/>
        <w:ind w:left="0" w:firstLineChars="200"/>
        <w:rPr>
          <w:rFonts w:ascii="宋体" w:hAnsi="宋体"/>
          <w:color w:val="000000"/>
          <w:kern w:val="0"/>
          <w:sz w:val="24"/>
        </w:rPr>
      </w:pPr>
      <w:r>
        <w:rPr>
          <w:rFonts w:ascii="宋体" w:hAnsi="宋体" w:hint="eastAsia"/>
          <w:color w:val="000000"/>
          <w:kern w:val="0"/>
          <w:sz w:val="24"/>
        </w:rPr>
        <w:t>负责制定、审查董事、</w:t>
      </w:r>
      <w:r w:rsidR="00B52740">
        <w:rPr>
          <w:rFonts w:ascii="宋体" w:hAnsi="宋体" w:hint="eastAsia"/>
          <w:color w:val="000000"/>
          <w:kern w:val="0"/>
          <w:sz w:val="24"/>
        </w:rPr>
        <w:t>高级管理</w:t>
      </w:r>
      <w:r>
        <w:rPr>
          <w:rFonts w:ascii="宋体" w:hAnsi="宋体" w:hint="eastAsia"/>
          <w:color w:val="000000"/>
          <w:kern w:val="0"/>
          <w:sz w:val="24"/>
        </w:rPr>
        <w:t>人员的薪酬政策与方案；</w:t>
      </w:r>
    </w:p>
    <w:p w14:paraId="61DBB4B2" w14:textId="77777777" w:rsidR="007E2121" w:rsidRPr="00BB27F2" w:rsidRDefault="00C155A8" w:rsidP="00BB27F2">
      <w:pPr>
        <w:pStyle w:val="af"/>
        <w:numPr>
          <w:ilvl w:val="0"/>
          <w:numId w:val="3"/>
        </w:numPr>
        <w:tabs>
          <w:tab w:val="left" w:pos="780"/>
          <w:tab w:val="left" w:pos="1276"/>
        </w:tabs>
        <w:autoSpaceDE w:val="0"/>
        <w:autoSpaceDN w:val="0"/>
        <w:adjustRightInd w:val="0"/>
        <w:spacing w:line="360" w:lineRule="auto"/>
        <w:ind w:firstLineChars="0"/>
        <w:rPr>
          <w:rFonts w:ascii="宋体" w:hAnsi="宋体"/>
          <w:color w:val="000000"/>
          <w:kern w:val="0"/>
          <w:sz w:val="24"/>
        </w:rPr>
      </w:pPr>
      <w:r w:rsidRPr="00BB27F2">
        <w:rPr>
          <w:rFonts w:ascii="宋体" w:hAnsi="宋体"/>
          <w:color w:val="000000"/>
          <w:kern w:val="0"/>
          <w:sz w:val="24"/>
        </w:rPr>
        <w:t>董事会授权的其他事宜。</w:t>
      </w:r>
    </w:p>
    <w:p w14:paraId="44B006FA"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董事会有权否决损害股东利益的薪酬计划或方案。</w:t>
      </w:r>
    </w:p>
    <w:p w14:paraId="30087765" w14:textId="77777777" w:rsidR="007E2121" w:rsidRDefault="00C155A8">
      <w:pPr>
        <w:numPr>
          <w:ilvl w:val="0"/>
          <w:numId w:val="2"/>
        </w:numPr>
        <w:tabs>
          <w:tab w:val="clear" w:pos="1950"/>
          <w:tab w:val="left" w:pos="1440"/>
        </w:tabs>
        <w:autoSpaceDE w:val="0"/>
        <w:autoSpaceDN w:val="0"/>
        <w:adjustRightInd w:val="0"/>
        <w:spacing w:line="360" w:lineRule="auto"/>
        <w:ind w:right="237" w:firstLineChars="200" w:firstLine="480"/>
        <w:rPr>
          <w:rFonts w:ascii="宋体" w:hAnsi="宋体"/>
          <w:color w:val="000000"/>
          <w:kern w:val="0"/>
        </w:rPr>
      </w:pPr>
      <w:r>
        <w:rPr>
          <w:rFonts w:ascii="宋体" w:hAnsi="宋体"/>
          <w:color w:val="000000"/>
          <w:kern w:val="0"/>
          <w:sz w:val="24"/>
        </w:rPr>
        <w:t>薪酬与考核委员会对董事会负责,委员会的提案提交董事会审议决定</w:t>
      </w:r>
      <w:r>
        <w:rPr>
          <w:rFonts w:ascii="宋体" w:hAnsi="宋体" w:hint="eastAsia"/>
          <w:color w:val="000000"/>
          <w:kern w:val="0"/>
          <w:sz w:val="24"/>
        </w:rPr>
        <w:t>。</w:t>
      </w:r>
    </w:p>
    <w:p w14:paraId="4FD9179C" w14:textId="77777777" w:rsidR="007E2121" w:rsidRDefault="00C155A8">
      <w:pPr>
        <w:numPr>
          <w:ilvl w:val="0"/>
          <w:numId w:val="2"/>
        </w:numPr>
        <w:tabs>
          <w:tab w:val="clear" w:pos="1950"/>
          <w:tab w:val="left" w:pos="1440"/>
        </w:tabs>
        <w:autoSpaceDE w:val="0"/>
        <w:autoSpaceDN w:val="0"/>
        <w:adjustRightInd w:val="0"/>
        <w:spacing w:line="360" w:lineRule="auto"/>
        <w:ind w:right="237" w:firstLineChars="200" w:firstLine="480"/>
        <w:rPr>
          <w:rFonts w:ascii="宋体" w:hAnsi="宋体"/>
          <w:color w:val="000000"/>
          <w:kern w:val="0"/>
          <w:sz w:val="24"/>
        </w:rPr>
      </w:pPr>
      <w:r>
        <w:rPr>
          <w:rFonts w:ascii="宋体" w:hAnsi="宋体"/>
          <w:color w:val="000000"/>
          <w:kern w:val="0"/>
          <w:sz w:val="24"/>
        </w:rPr>
        <w:t>薪酬与考核委员会负责制定董事、高级管理人员的考核标准并进行考核，制定、审查董事、高级管理人员的薪酬</w:t>
      </w:r>
      <w:r>
        <w:rPr>
          <w:sz w:val="24"/>
        </w:rPr>
        <w:t>决定机制、决策流程、支付与止付追索安排等薪酬政策与方案</w:t>
      </w:r>
      <w:r>
        <w:rPr>
          <w:rFonts w:ascii="宋体" w:hAnsi="宋体"/>
          <w:color w:val="000000"/>
          <w:kern w:val="0"/>
          <w:sz w:val="24"/>
        </w:rPr>
        <w:t>，并就下列事项向董事会提出建议：</w:t>
      </w:r>
    </w:p>
    <w:p w14:paraId="566BA52B" w14:textId="77777777" w:rsidR="007E2121" w:rsidRDefault="00C155A8">
      <w:pPr>
        <w:numPr>
          <w:ilvl w:val="1"/>
          <w:numId w:val="2"/>
        </w:numPr>
        <w:autoSpaceDE w:val="0"/>
        <w:autoSpaceDN w:val="0"/>
        <w:adjustRightInd w:val="0"/>
        <w:spacing w:line="360" w:lineRule="auto"/>
        <w:ind w:left="0" w:right="237" w:firstLineChars="200"/>
        <w:rPr>
          <w:rFonts w:ascii="宋体" w:hAnsi="宋体"/>
          <w:color w:val="000000"/>
          <w:kern w:val="0"/>
        </w:rPr>
      </w:pPr>
      <w:bookmarkStart w:id="0" w:name="No127_Z3T28K1X1"/>
      <w:bookmarkEnd w:id="0"/>
      <w:r>
        <w:rPr>
          <w:rFonts w:ascii="宋体" w:hAnsi="宋体"/>
          <w:color w:val="000000"/>
          <w:kern w:val="0"/>
          <w:sz w:val="24"/>
        </w:rPr>
        <w:t>董事、高级管理人员的薪酬；</w:t>
      </w:r>
    </w:p>
    <w:p w14:paraId="7AAC593B" w14:textId="77777777" w:rsidR="007E2121" w:rsidRDefault="00C155A8">
      <w:pPr>
        <w:numPr>
          <w:ilvl w:val="1"/>
          <w:numId w:val="2"/>
        </w:numPr>
        <w:autoSpaceDE w:val="0"/>
        <w:autoSpaceDN w:val="0"/>
        <w:adjustRightInd w:val="0"/>
        <w:spacing w:line="360" w:lineRule="auto"/>
        <w:ind w:left="0" w:right="237" w:firstLineChars="200"/>
        <w:rPr>
          <w:rFonts w:ascii="宋体" w:hAnsi="宋体"/>
          <w:color w:val="000000"/>
          <w:kern w:val="0"/>
        </w:rPr>
      </w:pPr>
      <w:bookmarkStart w:id="1" w:name="No128_Z3T28K1X2"/>
      <w:bookmarkEnd w:id="1"/>
      <w:r>
        <w:rPr>
          <w:rFonts w:ascii="宋体" w:hAnsi="宋体"/>
          <w:color w:val="000000"/>
          <w:kern w:val="0"/>
          <w:sz w:val="24"/>
        </w:rPr>
        <w:t>制定或者变更股权激励计划、员工持股计划，激励对象获授权益、行使权益条件成就；</w:t>
      </w:r>
    </w:p>
    <w:p w14:paraId="40E81AE1" w14:textId="77777777" w:rsidR="007E2121" w:rsidRDefault="00C155A8">
      <w:pPr>
        <w:numPr>
          <w:ilvl w:val="1"/>
          <w:numId w:val="2"/>
        </w:numPr>
        <w:autoSpaceDE w:val="0"/>
        <w:autoSpaceDN w:val="0"/>
        <w:adjustRightInd w:val="0"/>
        <w:spacing w:line="360" w:lineRule="auto"/>
        <w:ind w:left="0" w:right="237" w:firstLineChars="200"/>
        <w:rPr>
          <w:rFonts w:ascii="宋体" w:hAnsi="宋体"/>
          <w:color w:val="000000"/>
          <w:kern w:val="0"/>
        </w:rPr>
      </w:pPr>
      <w:bookmarkStart w:id="2" w:name="No129_Z3T28K1X3"/>
      <w:bookmarkEnd w:id="2"/>
      <w:r>
        <w:rPr>
          <w:rFonts w:ascii="宋体" w:hAnsi="宋体"/>
          <w:color w:val="000000"/>
          <w:kern w:val="0"/>
          <w:sz w:val="24"/>
        </w:rPr>
        <w:t>董事、高级管理人员在拟分拆所属子公司安排持股计划；</w:t>
      </w:r>
    </w:p>
    <w:p w14:paraId="235BF9B0" w14:textId="77777777" w:rsidR="007E2121" w:rsidRDefault="00C155A8">
      <w:pPr>
        <w:numPr>
          <w:ilvl w:val="1"/>
          <w:numId w:val="2"/>
        </w:numPr>
        <w:autoSpaceDE w:val="0"/>
        <w:autoSpaceDN w:val="0"/>
        <w:adjustRightInd w:val="0"/>
        <w:spacing w:line="360" w:lineRule="auto"/>
        <w:ind w:left="0" w:right="237" w:firstLineChars="200"/>
        <w:rPr>
          <w:rFonts w:ascii="宋体" w:hAnsi="宋体"/>
          <w:color w:val="000000"/>
          <w:kern w:val="0"/>
        </w:rPr>
      </w:pPr>
      <w:bookmarkStart w:id="3" w:name="No130_Z3T28K1X4"/>
      <w:bookmarkEnd w:id="3"/>
      <w:r>
        <w:rPr>
          <w:rFonts w:ascii="宋体" w:hAnsi="宋体"/>
          <w:color w:val="000000"/>
          <w:kern w:val="0"/>
          <w:sz w:val="24"/>
        </w:rPr>
        <w:t>法律、行政法规、中国证监会规定和公司章程规定的其他事项。</w:t>
      </w:r>
    </w:p>
    <w:p w14:paraId="1A86A783" w14:textId="77777777" w:rsidR="007E2121" w:rsidRDefault="00C155A8">
      <w:pPr>
        <w:numPr>
          <w:ilvl w:val="255"/>
          <w:numId w:val="0"/>
        </w:numPr>
        <w:autoSpaceDE w:val="0"/>
        <w:autoSpaceDN w:val="0"/>
        <w:adjustRightInd w:val="0"/>
        <w:spacing w:line="360" w:lineRule="auto"/>
        <w:ind w:firstLineChars="200" w:firstLine="480"/>
        <w:rPr>
          <w:rFonts w:ascii="宋体" w:hAnsi="宋体"/>
          <w:color w:val="000000"/>
          <w:kern w:val="0"/>
          <w:sz w:val="24"/>
        </w:rPr>
      </w:pPr>
      <w:bookmarkStart w:id="4" w:name="No131_Z3T28K2"/>
      <w:bookmarkEnd w:id="4"/>
      <w:r>
        <w:rPr>
          <w:rFonts w:ascii="宋体" w:hAnsi="宋体"/>
          <w:color w:val="000000"/>
          <w:kern w:val="0"/>
          <w:sz w:val="24"/>
        </w:rPr>
        <w:t>董事会对薪酬与考核委员会的建议未采纳或者未完全采纳的，应当在董事会决议中记载薪酬与考核委员会的意见及未采纳的具体理由，并进行披露。</w:t>
      </w:r>
    </w:p>
    <w:p w14:paraId="3AD50683" w14:textId="77777777" w:rsidR="007E2121" w:rsidRDefault="007E2121">
      <w:pPr>
        <w:autoSpaceDE w:val="0"/>
        <w:autoSpaceDN w:val="0"/>
        <w:adjustRightInd w:val="0"/>
        <w:spacing w:line="360" w:lineRule="auto"/>
        <w:ind w:firstLineChars="200" w:firstLine="480"/>
        <w:jc w:val="left"/>
        <w:rPr>
          <w:rFonts w:ascii="宋体" w:hAnsi="宋体"/>
          <w:color w:val="000000"/>
          <w:kern w:val="0"/>
          <w:sz w:val="24"/>
        </w:rPr>
      </w:pPr>
    </w:p>
    <w:p w14:paraId="196792BA" w14:textId="77777777" w:rsidR="007E2121" w:rsidRDefault="00C155A8" w:rsidP="00B52740">
      <w:pPr>
        <w:numPr>
          <w:ilvl w:val="0"/>
          <w:numId w:val="1"/>
        </w:numPr>
        <w:spacing w:afterLines="50" w:after="156" w:line="360" w:lineRule="auto"/>
        <w:ind w:left="0" w:firstLine="0"/>
        <w:jc w:val="center"/>
        <w:rPr>
          <w:rFonts w:ascii="宋体" w:hAnsi="宋体"/>
          <w:color w:val="000000"/>
          <w:kern w:val="0"/>
          <w:sz w:val="24"/>
        </w:rPr>
      </w:pPr>
      <w:r>
        <w:rPr>
          <w:rFonts w:ascii="宋体" w:hAnsi="宋体" w:hint="eastAsia"/>
          <w:b/>
          <w:bCs/>
          <w:color w:val="000000"/>
          <w:kern w:val="0"/>
          <w:sz w:val="24"/>
        </w:rPr>
        <w:t>工作程序</w:t>
      </w:r>
    </w:p>
    <w:p w14:paraId="3574B9D2"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薪酬与考核委员会下设的工作组负责做好薪酬与考核委员会决策的前期准备工作,提供公司有关方面的资料：</w:t>
      </w:r>
    </w:p>
    <w:p w14:paraId="5A09755E" w14:textId="77777777" w:rsidR="007E2121" w:rsidRDefault="00C155A8">
      <w:pPr>
        <w:numPr>
          <w:ilvl w:val="1"/>
          <w:numId w:val="2"/>
        </w:numPr>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提供公司主要财务指标和经营目标完成情况；</w:t>
      </w:r>
    </w:p>
    <w:p w14:paraId="37E88D50" w14:textId="211BE849" w:rsidR="007E2121" w:rsidRDefault="00C155A8">
      <w:pPr>
        <w:numPr>
          <w:ilvl w:val="1"/>
          <w:numId w:val="2"/>
        </w:numPr>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公司</w:t>
      </w:r>
      <w:r w:rsidR="00B52740">
        <w:rPr>
          <w:rFonts w:ascii="宋体" w:hAnsi="宋体"/>
          <w:color w:val="000000"/>
          <w:kern w:val="0"/>
          <w:sz w:val="24"/>
        </w:rPr>
        <w:t>高级管理人员</w:t>
      </w:r>
      <w:r>
        <w:rPr>
          <w:rFonts w:ascii="宋体" w:hAnsi="宋体"/>
          <w:color w:val="000000"/>
          <w:kern w:val="0"/>
          <w:sz w:val="24"/>
        </w:rPr>
        <w:t>分管工作范围及主要职责情况；</w:t>
      </w:r>
    </w:p>
    <w:p w14:paraId="6F81FAB2" w14:textId="2942E3BF"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提供董事及</w:t>
      </w:r>
      <w:r w:rsidR="00B52740">
        <w:rPr>
          <w:rFonts w:ascii="宋体" w:hAnsi="宋体"/>
          <w:color w:val="000000"/>
          <w:kern w:val="0"/>
          <w:sz w:val="24"/>
        </w:rPr>
        <w:t>高级管理人员</w:t>
      </w:r>
      <w:r>
        <w:rPr>
          <w:rFonts w:ascii="宋体" w:hAnsi="宋体"/>
          <w:color w:val="000000"/>
          <w:kern w:val="0"/>
          <w:sz w:val="24"/>
        </w:rPr>
        <w:t>岗位工作业绩考评系统中涉及指标的完成情况；</w:t>
      </w:r>
    </w:p>
    <w:p w14:paraId="687B6730" w14:textId="420A3757"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提供董事及</w:t>
      </w:r>
      <w:r w:rsidR="00B52740">
        <w:rPr>
          <w:rFonts w:ascii="宋体" w:hAnsi="宋体"/>
          <w:color w:val="000000"/>
          <w:kern w:val="0"/>
          <w:sz w:val="24"/>
        </w:rPr>
        <w:t>高级管理人员</w:t>
      </w:r>
      <w:r>
        <w:rPr>
          <w:rFonts w:ascii="宋体" w:hAnsi="宋体"/>
          <w:color w:val="000000"/>
          <w:kern w:val="0"/>
          <w:sz w:val="24"/>
        </w:rPr>
        <w:t>的业务创新能力和创利能力的经营绩效情况；</w:t>
      </w:r>
    </w:p>
    <w:p w14:paraId="61328543" w14:textId="77777777"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提供按公司业绩拟订公司薪酬分配规划和分配方式的有关测算依据。</w:t>
      </w:r>
    </w:p>
    <w:p w14:paraId="6A2F3999" w14:textId="3B13935A"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薪酬与考核委员会对董事和</w:t>
      </w:r>
      <w:r w:rsidR="00B52740">
        <w:rPr>
          <w:rFonts w:ascii="宋体" w:hAnsi="宋体"/>
          <w:color w:val="000000"/>
          <w:kern w:val="0"/>
          <w:sz w:val="24"/>
        </w:rPr>
        <w:t>高级管理人员</w:t>
      </w:r>
      <w:r>
        <w:rPr>
          <w:rFonts w:ascii="宋体" w:hAnsi="宋体"/>
          <w:color w:val="000000"/>
          <w:kern w:val="0"/>
          <w:sz w:val="24"/>
        </w:rPr>
        <w:t>考评程序：</w:t>
      </w:r>
    </w:p>
    <w:p w14:paraId="30C18FC1" w14:textId="5D1FFC2D"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lastRenderedPageBreak/>
        <w:t>公司董事和</w:t>
      </w:r>
      <w:r w:rsidR="00B52740">
        <w:rPr>
          <w:rFonts w:ascii="宋体" w:hAnsi="宋体"/>
          <w:color w:val="000000"/>
          <w:kern w:val="0"/>
          <w:sz w:val="24"/>
        </w:rPr>
        <w:t>高级管理人员</w:t>
      </w:r>
      <w:r>
        <w:rPr>
          <w:rFonts w:ascii="宋体" w:hAnsi="宋体"/>
          <w:color w:val="000000"/>
          <w:kern w:val="0"/>
          <w:sz w:val="24"/>
        </w:rPr>
        <w:t>向董事会薪酬与考核委员会作述职和自我评价；</w:t>
      </w:r>
    </w:p>
    <w:p w14:paraId="0CB4AB8B" w14:textId="1B077ECC"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薪酬与考核委员会按绩效评价标准和程序,对董事及</w:t>
      </w:r>
      <w:r w:rsidR="00B52740">
        <w:rPr>
          <w:rFonts w:ascii="宋体" w:hAnsi="宋体"/>
          <w:color w:val="000000"/>
          <w:kern w:val="0"/>
          <w:sz w:val="24"/>
        </w:rPr>
        <w:t>高级管理人员</w:t>
      </w:r>
      <w:r>
        <w:rPr>
          <w:rFonts w:ascii="宋体" w:hAnsi="宋体"/>
          <w:color w:val="000000"/>
          <w:kern w:val="0"/>
          <w:sz w:val="24"/>
        </w:rPr>
        <w:t>进行绩效评价；</w:t>
      </w:r>
    </w:p>
    <w:p w14:paraId="0A25B177" w14:textId="2D9056A9" w:rsidR="007E2121" w:rsidRDefault="00C155A8">
      <w:pPr>
        <w:numPr>
          <w:ilvl w:val="1"/>
          <w:numId w:val="2"/>
        </w:numPr>
        <w:tabs>
          <w:tab w:val="clear" w:pos="780"/>
          <w:tab w:val="left" w:pos="540"/>
        </w:tabs>
        <w:autoSpaceDE w:val="0"/>
        <w:autoSpaceDN w:val="0"/>
        <w:adjustRightInd w:val="0"/>
        <w:spacing w:line="360" w:lineRule="auto"/>
        <w:ind w:left="0" w:firstLineChars="200"/>
        <w:rPr>
          <w:rFonts w:ascii="宋体" w:hAnsi="宋体"/>
          <w:color w:val="000000"/>
          <w:kern w:val="0"/>
          <w:sz w:val="24"/>
        </w:rPr>
      </w:pPr>
      <w:r>
        <w:rPr>
          <w:rFonts w:ascii="宋体" w:hAnsi="宋体"/>
          <w:color w:val="000000"/>
          <w:kern w:val="0"/>
          <w:sz w:val="24"/>
        </w:rPr>
        <w:t>根据岗位绩效评价结果及薪酬分配政策提出董事及</w:t>
      </w:r>
      <w:r w:rsidR="00B52740">
        <w:rPr>
          <w:rFonts w:ascii="宋体" w:hAnsi="宋体"/>
          <w:color w:val="000000"/>
          <w:kern w:val="0"/>
          <w:sz w:val="24"/>
        </w:rPr>
        <w:t>高级管理人员</w:t>
      </w:r>
      <w:r>
        <w:rPr>
          <w:rFonts w:ascii="宋体" w:hAnsi="宋体"/>
          <w:color w:val="000000"/>
          <w:kern w:val="0"/>
          <w:sz w:val="24"/>
        </w:rPr>
        <w:t>的报酬数额和奖励方式,表决通过后,报公司董事会。</w:t>
      </w:r>
    </w:p>
    <w:p w14:paraId="6315DE05" w14:textId="77777777" w:rsidR="007E2121" w:rsidRDefault="007E2121">
      <w:pPr>
        <w:autoSpaceDE w:val="0"/>
        <w:autoSpaceDN w:val="0"/>
        <w:adjustRightInd w:val="0"/>
        <w:spacing w:line="360" w:lineRule="auto"/>
        <w:ind w:firstLineChars="200" w:firstLine="480"/>
        <w:jc w:val="left"/>
        <w:rPr>
          <w:rFonts w:ascii="宋体" w:hAnsi="宋体"/>
          <w:color w:val="000000"/>
          <w:kern w:val="0"/>
          <w:sz w:val="24"/>
        </w:rPr>
      </w:pPr>
    </w:p>
    <w:p w14:paraId="58F36412" w14:textId="77777777" w:rsidR="007E2121" w:rsidRDefault="00C155A8" w:rsidP="00B52740">
      <w:pPr>
        <w:numPr>
          <w:ilvl w:val="0"/>
          <w:numId w:val="1"/>
        </w:numPr>
        <w:spacing w:afterLines="50" w:after="156" w:line="360" w:lineRule="auto"/>
        <w:ind w:left="0" w:firstLine="0"/>
        <w:jc w:val="center"/>
        <w:rPr>
          <w:rFonts w:ascii="宋体" w:hAnsi="宋体"/>
          <w:color w:val="000000"/>
          <w:kern w:val="0"/>
          <w:sz w:val="24"/>
        </w:rPr>
      </w:pPr>
      <w:r>
        <w:rPr>
          <w:rFonts w:ascii="宋体" w:hAnsi="宋体" w:hint="eastAsia"/>
          <w:b/>
          <w:bCs/>
          <w:color w:val="000000"/>
          <w:kern w:val="0"/>
          <w:sz w:val="24"/>
        </w:rPr>
        <w:t>议事规则</w:t>
      </w:r>
    </w:p>
    <w:p w14:paraId="0C52E2DB"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薪酬与考核委员会每年至少召开一次会议,并于会议召开前</w:t>
      </w:r>
      <w:r>
        <w:rPr>
          <w:rFonts w:ascii="宋体" w:hAnsi="宋体" w:hint="eastAsia"/>
          <w:color w:val="000000"/>
          <w:kern w:val="0"/>
          <w:sz w:val="24"/>
        </w:rPr>
        <w:t>三日</w:t>
      </w:r>
      <w:r>
        <w:rPr>
          <w:rFonts w:ascii="宋体" w:hAnsi="宋体"/>
          <w:color w:val="000000"/>
          <w:kern w:val="0"/>
          <w:sz w:val="24"/>
        </w:rPr>
        <w:t>通知全体委员,会议由主任委员主持,主任委员不能出席时可委托其他一名委员（独立董事）主持。</w:t>
      </w:r>
      <w:r>
        <w:rPr>
          <w:rFonts w:ascii="宋体" w:hAnsi="宋体" w:cs="宋体"/>
          <w:sz w:val="24"/>
          <w:szCs w:val="24"/>
        </w:rPr>
        <w:t>情况紧急，需要尽快召开临时会议的，可以随时通过电话或者其他口头方式发出会议通知，但召集人应当在会议上作出说明。</w:t>
      </w:r>
    </w:p>
    <w:p w14:paraId="62D596A4"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薪酬与考核委员会会议应由三分之二以上的委员出席方可举行；</w:t>
      </w:r>
      <w:r>
        <w:rPr>
          <w:rFonts w:ascii="宋体" w:hAnsi="宋体" w:cs="宋体"/>
          <w:sz w:val="24"/>
          <w:szCs w:val="24"/>
        </w:rPr>
        <w:t>无法出席会议的委员可委托其他委员出席会议，委托方法参照董事会授权委托程序进行</w:t>
      </w:r>
      <w:r>
        <w:rPr>
          <w:rFonts w:ascii="宋体" w:hAnsi="宋体" w:cs="宋体" w:hint="eastAsia"/>
          <w:sz w:val="24"/>
          <w:szCs w:val="24"/>
        </w:rPr>
        <w:t>；</w:t>
      </w:r>
      <w:r>
        <w:rPr>
          <w:rFonts w:ascii="宋体" w:hAnsi="宋体"/>
          <w:color w:val="000000"/>
          <w:kern w:val="0"/>
          <w:sz w:val="24"/>
        </w:rPr>
        <w:t>每一名委员有一票的表决权；会议做出的决议,必须经全体委员的过半数通过。</w:t>
      </w:r>
    </w:p>
    <w:p w14:paraId="3700FC6D" w14:textId="77777777" w:rsidR="007E2121" w:rsidRDefault="008A773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在保证全体参会董事能够充分沟通并表达意见的前提下，薪酬与考核</w:t>
      </w:r>
      <w:r w:rsidRPr="00D61FC0">
        <w:rPr>
          <w:rFonts w:ascii="宋体" w:hAnsi="宋体" w:hint="eastAsia"/>
          <w:color w:val="000000"/>
          <w:kern w:val="0"/>
          <w:sz w:val="24"/>
        </w:rPr>
        <w:t>委员会会议可以通过现场、通讯或其他方式召开，并可以采取口头、举手、投票等</w:t>
      </w:r>
      <w:r>
        <w:rPr>
          <w:rFonts w:ascii="宋体" w:hAnsi="宋体" w:hint="eastAsia"/>
          <w:color w:val="000000"/>
          <w:kern w:val="0"/>
          <w:sz w:val="24"/>
        </w:rPr>
        <w:t>多种方式进行表决</w:t>
      </w:r>
      <w:r w:rsidR="00C155A8">
        <w:rPr>
          <w:rFonts w:ascii="宋体" w:hAnsi="宋体"/>
          <w:color w:val="000000"/>
          <w:kern w:val="0"/>
          <w:sz w:val="24"/>
        </w:rPr>
        <w:t>。</w:t>
      </w:r>
    </w:p>
    <w:p w14:paraId="3BE0BC30"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薪酬与考核委员会委员需对涉及自身相关利益的事项进行表决回避，若因委员回避导致会议无法正常完成对该事项议案表决的，该事项应直接提交董事会审议</w:t>
      </w:r>
      <w:r>
        <w:rPr>
          <w:rFonts w:ascii="宋体" w:hAnsi="宋体" w:hint="eastAsia"/>
          <w:color w:val="000000"/>
          <w:kern w:val="0"/>
          <w:sz w:val="24"/>
        </w:rPr>
        <w:t>。</w:t>
      </w:r>
    </w:p>
    <w:p w14:paraId="37A04811"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薪酬与考核委员会会议必要时可以邀请公司董事、</w:t>
      </w:r>
      <w:r>
        <w:rPr>
          <w:rFonts w:ascii="宋体" w:hAnsi="宋体" w:hint="eastAsia"/>
          <w:color w:val="000000"/>
          <w:kern w:val="0"/>
          <w:sz w:val="24"/>
        </w:rPr>
        <w:t>高级管理</w:t>
      </w:r>
      <w:r>
        <w:rPr>
          <w:rFonts w:ascii="宋体" w:hAnsi="宋体"/>
          <w:color w:val="000000"/>
          <w:kern w:val="0"/>
          <w:sz w:val="24"/>
        </w:rPr>
        <w:t>人员列席会议。</w:t>
      </w:r>
    </w:p>
    <w:p w14:paraId="1AF98AB8"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如有必要,薪酬与考核委员会可以聘请中介机构为其决策提供专业意见,费用由公司支付。</w:t>
      </w:r>
    </w:p>
    <w:p w14:paraId="724B86D0"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薪酬与考核委员会会议讨论有关委员会成员的议题时,当事人应回避。</w:t>
      </w:r>
    </w:p>
    <w:p w14:paraId="567FCED3"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薪酬与考核委员会会议的召开程序、表决方式和会议通过的</w:t>
      </w:r>
      <w:r>
        <w:rPr>
          <w:rFonts w:ascii="宋体" w:hAnsi="宋体"/>
          <w:color w:val="000000"/>
          <w:kern w:val="0"/>
          <w:sz w:val="24"/>
        </w:rPr>
        <w:lastRenderedPageBreak/>
        <w:t>薪酬政策与分配方案必须遵循有关法律、法规、公司章程及本</w:t>
      </w:r>
      <w:r>
        <w:rPr>
          <w:rFonts w:ascii="宋体" w:hAnsi="宋体" w:hint="eastAsia"/>
          <w:color w:val="000000"/>
          <w:kern w:val="0"/>
          <w:sz w:val="24"/>
        </w:rPr>
        <w:t>细则</w:t>
      </w:r>
      <w:r>
        <w:rPr>
          <w:rFonts w:ascii="宋体" w:hAnsi="宋体"/>
          <w:color w:val="000000"/>
          <w:kern w:val="0"/>
          <w:sz w:val="24"/>
        </w:rPr>
        <w:t>的规定。</w:t>
      </w:r>
    </w:p>
    <w:p w14:paraId="002E58D6"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薪酬与考核委员会会议应当有记录,出席会议的委员应当在会议记录上签名；会议记录由公司董事会秘书保存</w:t>
      </w:r>
      <w:r>
        <w:rPr>
          <w:rFonts w:ascii="宋体" w:hAnsi="宋体" w:hint="eastAsia"/>
          <w:color w:val="000000"/>
          <w:kern w:val="0"/>
          <w:sz w:val="24"/>
        </w:rPr>
        <w:t>，</w:t>
      </w:r>
      <w:r>
        <w:rPr>
          <w:rFonts w:ascii="宋体" w:hAnsi="宋体" w:cs="宋体"/>
          <w:sz w:val="24"/>
          <w:szCs w:val="24"/>
        </w:rPr>
        <w:t>保存期限至少为10年</w:t>
      </w:r>
      <w:r>
        <w:rPr>
          <w:rFonts w:ascii="宋体" w:hAnsi="宋体"/>
          <w:color w:val="000000"/>
          <w:kern w:val="0"/>
          <w:sz w:val="24"/>
        </w:rPr>
        <w:t>。</w:t>
      </w:r>
    </w:p>
    <w:p w14:paraId="0D12B79A"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薪酬与考核委员会会议通过的议案及表决结果,应以书面形式报公司董事会。</w:t>
      </w:r>
    </w:p>
    <w:p w14:paraId="221A48B8"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出席会议的委员均对会议所议事项有保密义务,不得擅自披露有关信息。</w:t>
      </w:r>
    </w:p>
    <w:p w14:paraId="65647E6B" w14:textId="77777777" w:rsidR="007E2121" w:rsidRDefault="007E2121">
      <w:pPr>
        <w:autoSpaceDE w:val="0"/>
        <w:autoSpaceDN w:val="0"/>
        <w:adjustRightInd w:val="0"/>
        <w:spacing w:line="360" w:lineRule="auto"/>
        <w:ind w:firstLineChars="200" w:firstLine="480"/>
        <w:jc w:val="left"/>
        <w:rPr>
          <w:rFonts w:ascii="宋体" w:hAnsi="宋体"/>
          <w:color w:val="000000"/>
          <w:kern w:val="0"/>
          <w:sz w:val="24"/>
        </w:rPr>
      </w:pPr>
    </w:p>
    <w:p w14:paraId="5B52B9AE" w14:textId="77777777" w:rsidR="007E2121" w:rsidRDefault="00C155A8" w:rsidP="00B52740">
      <w:pPr>
        <w:numPr>
          <w:ilvl w:val="0"/>
          <w:numId w:val="1"/>
        </w:numPr>
        <w:spacing w:afterLines="50" w:after="156" w:line="360" w:lineRule="auto"/>
        <w:ind w:left="0" w:firstLine="0"/>
        <w:jc w:val="center"/>
        <w:rPr>
          <w:rFonts w:ascii="宋体" w:hAnsi="宋体"/>
          <w:color w:val="000000"/>
          <w:kern w:val="0"/>
          <w:sz w:val="24"/>
        </w:rPr>
      </w:pPr>
      <w:r>
        <w:rPr>
          <w:rFonts w:ascii="宋体" w:hAnsi="宋体" w:hint="eastAsia"/>
          <w:b/>
          <w:bCs/>
          <w:color w:val="000000"/>
          <w:kern w:val="0"/>
          <w:sz w:val="24"/>
        </w:rPr>
        <w:t>附则</w:t>
      </w:r>
    </w:p>
    <w:p w14:paraId="0FAA3276"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本细则自董事会决议通过之日起</w:t>
      </w:r>
      <w:r>
        <w:rPr>
          <w:rFonts w:ascii="宋体" w:hAnsi="宋体" w:hint="eastAsia"/>
          <w:color w:val="000000"/>
          <w:kern w:val="0"/>
          <w:sz w:val="24"/>
        </w:rPr>
        <w:t>生效并实施</w:t>
      </w:r>
      <w:r>
        <w:rPr>
          <w:rFonts w:ascii="宋体" w:hAnsi="宋体"/>
          <w:color w:val="000000"/>
          <w:kern w:val="0"/>
          <w:sz w:val="24"/>
        </w:rPr>
        <w:t>。</w:t>
      </w:r>
    </w:p>
    <w:p w14:paraId="0F5EA213"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本细则未尽事宜,按国家有关法律、法规和公司章程、董事会议事规则的规定执行；本细则如与国家日后颁布的法律、法规或经合法程序修改后的公司章程、董事会议事规则相抵触时,按国家有关法律、法规和公司章程、董事会议事规则的规定执行,并立即修订,报董事会审议通过。</w:t>
      </w:r>
    </w:p>
    <w:p w14:paraId="3C7C7823" w14:textId="77777777" w:rsidR="007E2121" w:rsidRDefault="00C155A8">
      <w:pPr>
        <w:numPr>
          <w:ilvl w:val="0"/>
          <w:numId w:val="2"/>
        </w:numPr>
        <w:tabs>
          <w:tab w:val="clear" w:pos="1950"/>
          <w:tab w:val="left" w:pos="1440"/>
        </w:tabs>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本细则解释权归属公司董事会。</w:t>
      </w:r>
    </w:p>
    <w:p w14:paraId="0E19AA43" w14:textId="77777777" w:rsidR="007E2121" w:rsidRDefault="007E2121">
      <w:pPr>
        <w:autoSpaceDE w:val="0"/>
        <w:autoSpaceDN w:val="0"/>
        <w:adjustRightInd w:val="0"/>
        <w:spacing w:line="360" w:lineRule="auto"/>
        <w:ind w:firstLineChars="200" w:firstLine="480"/>
        <w:jc w:val="right"/>
        <w:rPr>
          <w:rFonts w:ascii="宋体" w:hAnsi="宋体"/>
          <w:color w:val="000000"/>
          <w:kern w:val="0"/>
          <w:sz w:val="24"/>
        </w:rPr>
      </w:pPr>
    </w:p>
    <w:p w14:paraId="09A59420" w14:textId="77777777" w:rsidR="007E2121" w:rsidRDefault="007E2121">
      <w:pPr>
        <w:autoSpaceDE w:val="0"/>
        <w:autoSpaceDN w:val="0"/>
        <w:adjustRightInd w:val="0"/>
        <w:spacing w:line="360" w:lineRule="auto"/>
        <w:ind w:firstLineChars="200" w:firstLine="480"/>
        <w:jc w:val="right"/>
        <w:rPr>
          <w:rFonts w:ascii="宋体" w:hAnsi="宋体"/>
          <w:color w:val="000000"/>
          <w:kern w:val="0"/>
          <w:sz w:val="24"/>
        </w:rPr>
      </w:pPr>
    </w:p>
    <w:p w14:paraId="3030438D" w14:textId="77777777" w:rsidR="007E2121" w:rsidRDefault="00C155A8">
      <w:pPr>
        <w:autoSpaceDE w:val="0"/>
        <w:autoSpaceDN w:val="0"/>
        <w:adjustRightInd w:val="0"/>
        <w:spacing w:line="360" w:lineRule="auto"/>
        <w:ind w:firstLineChars="200" w:firstLine="480"/>
        <w:jc w:val="right"/>
        <w:rPr>
          <w:rFonts w:ascii="宋体" w:hAnsi="宋体"/>
          <w:color w:val="000000"/>
          <w:kern w:val="0"/>
          <w:sz w:val="24"/>
        </w:rPr>
      </w:pPr>
      <w:r>
        <w:rPr>
          <w:rFonts w:ascii="宋体" w:hAnsi="宋体" w:hint="eastAsia"/>
          <w:color w:val="000000"/>
          <w:kern w:val="0"/>
          <w:sz w:val="24"/>
        </w:rPr>
        <w:t>江苏中利集团股份有限公司</w:t>
      </w:r>
    </w:p>
    <w:p w14:paraId="469C4D57" w14:textId="77777777" w:rsidR="007E2121" w:rsidRDefault="007E2121">
      <w:pPr>
        <w:autoSpaceDE w:val="0"/>
        <w:autoSpaceDN w:val="0"/>
        <w:adjustRightInd w:val="0"/>
        <w:spacing w:line="360" w:lineRule="auto"/>
        <w:ind w:firstLineChars="200" w:firstLine="480"/>
        <w:jc w:val="right"/>
        <w:rPr>
          <w:rFonts w:ascii="宋体" w:hAnsi="宋体"/>
          <w:color w:val="000000"/>
          <w:kern w:val="0"/>
          <w:sz w:val="24"/>
        </w:rPr>
      </w:pPr>
    </w:p>
    <w:p w14:paraId="754FE9A1" w14:textId="1E3B65F7" w:rsidR="007E2121" w:rsidRDefault="00C155A8">
      <w:pPr>
        <w:wordWrap w:val="0"/>
        <w:autoSpaceDE w:val="0"/>
        <w:autoSpaceDN w:val="0"/>
        <w:adjustRightInd w:val="0"/>
        <w:spacing w:line="360" w:lineRule="auto"/>
        <w:ind w:firstLineChars="200" w:firstLine="480"/>
        <w:jc w:val="right"/>
        <w:rPr>
          <w:rFonts w:ascii="宋体" w:hAnsi="宋体"/>
          <w:color w:val="000000"/>
          <w:kern w:val="0"/>
          <w:sz w:val="24"/>
        </w:rPr>
      </w:pPr>
      <w:r>
        <w:rPr>
          <w:rFonts w:ascii="宋体" w:hAnsi="宋体"/>
          <w:color w:val="000000"/>
          <w:kern w:val="0"/>
          <w:sz w:val="24"/>
        </w:rPr>
        <w:t>202</w:t>
      </w:r>
      <w:r>
        <w:rPr>
          <w:rFonts w:ascii="宋体" w:hAnsi="宋体" w:hint="eastAsia"/>
          <w:color w:val="000000"/>
          <w:kern w:val="0"/>
          <w:sz w:val="24"/>
        </w:rPr>
        <w:t>5</w:t>
      </w:r>
      <w:r>
        <w:rPr>
          <w:rFonts w:ascii="宋体" w:hAnsi="宋体"/>
          <w:color w:val="000000"/>
          <w:kern w:val="0"/>
          <w:sz w:val="24"/>
        </w:rPr>
        <w:t>年</w:t>
      </w:r>
      <w:r w:rsidR="00DC22ED">
        <w:rPr>
          <w:rFonts w:ascii="宋体" w:hAnsi="宋体" w:hint="eastAsia"/>
          <w:color w:val="000000"/>
          <w:kern w:val="0"/>
          <w:sz w:val="24"/>
        </w:rPr>
        <w:t>2</w:t>
      </w:r>
      <w:r>
        <w:rPr>
          <w:rFonts w:ascii="宋体" w:hAnsi="宋体"/>
          <w:color w:val="000000"/>
          <w:kern w:val="0"/>
          <w:sz w:val="24"/>
        </w:rPr>
        <w:t>月</w:t>
      </w:r>
      <w:r w:rsidR="00DC22ED">
        <w:rPr>
          <w:rFonts w:ascii="宋体" w:hAnsi="宋体" w:hint="eastAsia"/>
          <w:color w:val="000000"/>
          <w:kern w:val="0"/>
          <w:sz w:val="24"/>
        </w:rPr>
        <w:t>6</w:t>
      </w:r>
      <w:bookmarkStart w:id="5" w:name="_GoBack"/>
      <w:bookmarkEnd w:id="5"/>
      <w:r>
        <w:rPr>
          <w:rFonts w:ascii="宋体" w:hAnsi="宋体" w:hint="eastAsia"/>
          <w:color w:val="000000"/>
          <w:kern w:val="0"/>
          <w:sz w:val="24"/>
        </w:rPr>
        <w:t>日</w:t>
      </w:r>
    </w:p>
    <w:p w14:paraId="15C2BC54" w14:textId="77777777" w:rsidR="007E2121" w:rsidRDefault="007E2121">
      <w:pPr>
        <w:spacing w:line="360" w:lineRule="auto"/>
        <w:ind w:firstLineChars="200" w:firstLine="420"/>
        <w:rPr>
          <w:rFonts w:ascii="宋体" w:hAnsi="宋体"/>
        </w:rPr>
      </w:pPr>
    </w:p>
    <w:p w14:paraId="6ABF9949" w14:textId="77777777" w:rsidR="007E2121" w:rsidRDefault="007E2121">
      <w:pPr>
        <w:rPr>
          <w:rFonts w:ascii="宋体" w:hAnsi="宋体"/>
        </w:rPr>
      </w:pPr>
    </w:p>
    <w:sectPr w:rsidR="007E2121" w:rsidSect="00E240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2133" w14:textId="77777777" w:rsidR="00935C6C" w:rsidRDefault="00935C6C" w:rsidP="008A7738">
      <w:r>
        <w:separator/>
      </w:r>
    </w:p>
  </w:endnote>
  <w:endnote w:type="continuationSeparator" w:id="0">
    <w:p w14:paraId="74ED25C3" w14:textId="77777777" w:rsidR="00935C6C" w:rsidRDefault="00935C6C" w:rsidP="008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C167" w14:textId="77777777" w:rsidR="00935C6C" w:rsidRDefault="00935C6C" w:rsidP="008A7738">
      <w:r>
        <w:separator/>
      </w:r>
    </w:p>
  </w:footnote>
  <w:footnote w:type="continuationSeparator" w:id="0">
    <w:p w14:paraId="3BD9AF2A" w14:textId="77777777" w:rsidR="00935C6C" w:rsidRDefault="00935C6C" w:rsidP="008A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474"/>
    <w:multiLevelType w:val="hybridMultilevel"/>
    <w:tmpl w:val="5AE09D5A"/>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E946820"/>
    <w:multiLevelType w:val="multilevel"/>
    <w:tmpl w:val="88F20B3C"/>
    <w:lvl w:ilvl="0">
      <w:start w:val="1"/>
      <w:numFmt w:val="chineseCountingThousand"/>
      <w:lvlText w:val="第%1条"/>
      <w:lvlJc w:val="left"/>
      <w:pPr>
        <w:tabs>
          <w:tab w:val="left" w:pos="1950"/>
        </w:tabs>
        <w:ind w:left="0" w:firstLine="600"/>
      </w:pPr>
      <w:rPr>
        <w:rFonts w:hint="default"/>
        <w:b/>
        <w:sz w:val="24"/>
        <w:szCs w:val="24"/>
        <w:lang w:val="en-US"/>
      </w:rPr>
    </w:lvl>
    <w:lvl w:ilvl="1">
      <w:start w:val="1"/>
      <w:numFmt w:val="chineseCountingThousand"/>
      <w:lvlText w:val="(%2)"/>
      <w:lvlJc w:val="left"/>
      <w:pPr>
        <w:tabs>
          <w:tab w:val="left" w:pos="780"/>
        </w:tabs>
        <w:ind w:left="-60" w:firstLine="480"/>
      </w:pPr>
      <w:rPr>
        <w:rFonts w:hint="default"/>
        <w:b w:val="0"/>
        <w:sz w:val="24"/>
        <w:szCs w:val="24"/>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7CB1D92"/>
    <w:multiLevelType w:val="multilevel"/>
    <w:tmpl w:val="67CB1D92"/>
    <w:lvl w:ilvl="0">
      <w:start w:val="1"/>
      <w:numFmt w:val="japaneseCounting"/>
      <w:lvlText w:val="第%1章"/>
      <w:lvlJc w:val="left"/>
      <w:pPr>
        <w:tabs>
          <w:tab w:val="left" w:pos="990"/>
        </w:tabs>
        <w:ind w:left="990" w:hanging="990"/>
      </w:pPr>
      <w:rPr>
        <w:rFonts w:ascii="宋体" w:eastAsia="宋体" w:hAnsi="宋体" w:hint="default"/>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QyYzJiYWY0MDA3NmRkMjNlMGMxNzE5ZWQ4MDBkNTcifQ=="/>
  </w:docVars>
  <w:rsids>
    <w:rsidRoot w:val="00384C09"/>
    <w:rsid w:val="0001316C"/>
    <w:rsid w:val="000A4196"/>
    <w:rsid w:val="001C1AB3"/>
    <w:rsid w:val="001D5BCA"/>
    <w:rsid w:val="002B4713"/>
    <w:rsid w:val="00384C09"/>
    <w:rsid w:val="0040237B"/>
    <w:rsid w:val="0050274F"/>
    <w:rsid w:val="005E1F9B"/>
    <w:rsid w:val="00604182"/>
    <w:rsid w:val="00636D58"/>
    <w:rsid w:val="006565B6"/>
    <w:rsid w:val="006B0CBC"/>
    <w:rsid w:val="007917BF"/>
    <w:rsid w:val="007E2121"/>
    <w:rsid w:val="00815415"/>
    <w:rsid w:val="00856A7D"/>
    <w:rsid w:val="00860FF7"/>
    <w:rsid w:val="008A7738"/>
    <w:rsid w:val="008C0F0C"/>
    <w:rsid w:val="009014C8"/>
    <w:rsid w:val="00935C6C"/>
    <w:rsid w:val="009571D3"/>
    <w:rsid w:val="009977F8"/>
    <w:rsid w:val="00AE0BCB"/>
    <w:rsid w:val="00B52740"/>
    <w:rsid w:val="00BB27F2"/>
    <w:rsid w:val="00BE07D5"/>
    <w:rsid w:val="00BE56A2"/>
    <w:rsid w:val="00C13F66"/>
    <w:rsid w:val="00C155A8"/>
    <w:rsid w:val="00C3605A"/>
    <w:rsid w:val="00C64671"/>
    <w:rsid w:val="00CF0642"/>
    <w:rsid w:val="00D72A46"/>
    <w:rsid w:val="00DC22ED"/>
    <w:rsid w:val="00DD0D4B"/>
    <w:rsid w:val="00E240C3"/>
    <w:rsid w:val="00E958FB"/>
    <w:rsid w:val="00ED7A8D"/>
    <w:rsid w:val="00FF501E"/>
    <w:rsid w:val="06C90F25"/>
    <w:rsid w:val="12A34040"/>
    <w:rsid w:val="1B054C6B"/>
    <w:rsid w:val="31677CDE"/>
    <w:rsid w:val="3C220233"/>
    <w:rsid w:val="3C2A6FDD"/>
    <w:rsid w:val="4FFC1320"/>
    <w:rsid w:val="5CEA2A1E"/>
    <w:rsid w:val="5F4755B5"/>
    <w:rsid w:val="6321301D"/>
    <w:rsid w:val="63D05F77"/>
    <w:rsid w:val="7E1E2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77241"/>
  <w15:docId w15:val="{9A620ABF-9BC8-4168-B60B-B6B9A630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C3"/>
    <w:pPr>
      <w:widowControl w:val="0"/>
      <w:jc w:val="both"/>
    </w:pPr>
    <w:rPr>
      <w:kern w:val="2"/>
      <w:sz w:val="21"/>
      <w:szCs w:val="21"/>
    </w:rPr>
  </w:style>
  <w:style w:type="paragraph" w:styleId="1">
    <w:name w:val="heading 1"/>
    <w:basedOn w:val="a"/>
    <w:next w:val="a"/>
    <w:link w:val="10"/>
    <w:autoRedefine/>
    <w:qFormat/>
    <w:rsid w:val="00E240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rsid w:val="00E240C3"/>
    <w:pPr>
      <w:jc w:val="left"/>
    </w:pPr>
  </w:style>
  <w:style w:type="paragraph" w:styleId="a5">
    <w:name w:val="Body Text"/>
    <w:basedOn w:val="a"/>
    <w:autoRedefine/>
    <w:uiPriority w:val="1"/>
    <w:qFormat/>
    <w:rsid w:val="005E1F9B"/>
    <w:pPr>
      <w:spacing w:line="360" w:lineRule="auto"/>
      <w:ind w:left="119"/>
      <w:jc w:val="center"/>
    </w:pPr>
    <w:rPr>
      <w:sz w:val="24"/>
      <w:szCs w:val="24"/>
    </w:rPr>
  </w:style>
  <w:style w:type="paragraph" w:styleId="a6">
    <w:name w:val="Balloon Text"/>
    <w:basedOn w:val="a"/>
    <w:link w:val="a7"/>
    <w:autoRedefine/>
    <w:uiPriority w:val="99"/>
    <w:semiHidden/>
    <w:unhideWhenUsed/>
    <w:qFormat/>
    <w:rsid w:val="00E240C3"/>
    <w:rPr>
      <w:sz w:val="18"/>
      <w:szCs w:val="18"/>
    </w:rPr>
  </w:style>
  <w:style w:type="paragraph" w:styleId="a8">
    <w:name w:val="footer"/>
    <w:basedOn w:val="a"/>
    <w:link w:val="a9"/>
    <w:autoRedefine/>
    <w:uiPriority w:val="99"/>
    <w:unhideWhenUsed/>
    <w:qFormat/>
    <w:rsid w:val="00E240C3"/>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rsid w:val="00E240C3"/>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uiPriority w:val="99"/>
    <w:semiHidden/>
    <w:unhideWhenUsed/>
    <w:qFormat/>
    <w:rsid w:val="00E240C3"/>
    <w:rPr>
      <w:b/>
      <w:bCs/>
    </w:rPr>
  </w:style>
  <w:style w:type="character" w:styleId="ae">
    <w:name w:val="annotation reference"/>
    <w:basedOn w:val="a0"/>
    <w:autoRedefine/>
    <w:uiPriority w:val="99"/>
    <w:semiHidden/>
    <w:unhideWhenUsed/>
    <w:qFormat/>
    <w:rsid w:val="00E240C3"/>
    <w:rPr>
      <w:sz w:val="21"/>
      <w:szCs w:val="21"/>
    </w:rPr>
  </w:style>
  <w:style w:type="character" w:customStyle="1" w:styleId="10">
    <w:name w:val="标题 1 字符"/>
    <w:basedOn w:val="a0"/>
    <w:link w:val="1"/>
    <w:autoRedefine/>
    <w:qFormat/>
    <w:rsid w:val="00E240C3"/>
    <w:rPr>
      <w:rFonts w:ascii="Times New Roman" w:eastAsia="宋体" w:hAnsi="Times New Roman" w:cs="Times New Roman"/>
      <w:b/>
      <w:bCs/>
      <w:kern w:val="44"/>
      <w:sz w:val="44"/>
      <w:szCs w:val="44"/>
    </w:rPr>
  </w:style>
  <w:style w:type="character" w:customStyle="1" w:styleId="a7">
    <w:name w:val="批注框文本 字符"/>
    <w:basedOn w:val="a0"/>
    <w:link w:val="a6"/>
    <w:autoRedefine/>
    <w:uiPriority w:val="99"/>
    <w:semiHidden/>
    <w:qFormat/>
    <w:rsid w:val="00E240C3"/>
    <w:rPr>
      <w:rFonts w:ascii="Times New Roman" w:eastAsia="宋体" w:hAnsi="Times New Roman" w:cs="Times New Roman"/>
      <w:sz w:val="18"/>
      <w:szCs w:val="18"/>
    </w:rPr>
  </w:style>
  <w:style w:type="character" w:customStyle="1" w:styleId="a4">
    <w:name w:val="批注文字 字符"/>
    <w:basedOn w:val="a0"/>
    <w:link w:val="a3"/>
    <w:autoRedefine/>
    <w:uiPriority w:val="99"/>
    <w:semiHidden/>
    <w:qFormat/>
    <w:rsid w:val="00E240C3"/>
    <w:rPr>
      <w:rFonts w:ascii="Times New Roman" w:eastAsia="宋体" w:hAnsi="Times New Roman" w:cs="Times New Roman"/>
      <w:szCs w:val="21"/>
    </w:rPr>
  </w:style>
  <w:style w:type="character" w:customStyle="1" w:styleId="ad">
    <w:name w:val="批注主题 字符"/>
    <w:basedOn w:val="a4"/>
    <w:link w:val="ac"/>
    <w:autoRedefine/>
    <w:uiPriority w:val="99"/>
    <w:semiHidden/>
    <w:qFormat/>
    <w:rsid w:val="00E240C3"/>
    <w:rPr>
      <w:rFonts w:ascii="Times New Roman" w:eastAsia="宋体" w:hAnsi="Times New Roman" w:cs="Times New Roman"/>
      <w:b/>
      <w:bCs/>
      <w:szCs w:val="21"/>
    </w:rPr>
  </w:style>
  <w:style w:type="character" w:customStyle="1" w:styleId="ab">
    <w:name w:val="页眉 字符"/>
    <w:basedOn w:val="a0"/>
    <w:link w:val="aa"/>
    <w:autoRedefine/>
    <w:uiPriority w:val="99"/>
    <w:qFormat/>
    <w:rsid w:val="00E240C3"/>
    <w:rPr>
      <w:rFonts w:ascii="Times New Roman" w:eastAsia="宋体" w:hAnsi="Times New Roman" w:cs="Times New Roman"/>
      <w:kern w:val="2"/>
      <w:sz w:val="18"/>
      <w:szCs w:val="18"/>
    </w:rPr>
  </w:style>
  <w:style w:type="character" w:customStyle="1" w:styleId="a9">
    <w:name w:val="页脚 字符"/>
    <w:basedOn w:val="a0"/>
    <w:link w:val="a8"/>
    <w:autoRedefine/>
    <w:uiPriority w:val="99"/>
    <w:qFormat/>
    <w:rsid w:val="00E240C3"/>
    <w:rPr>
      <w:rFonts w:ascii="Times New Roman" w:eastAsia="宋体" w:hAnsi="Times New Roman" w:cs="Times New Roman"/>
      <w:kern w:val="2"/>
      <w:sz w:val="18"/>
      <w:szCs w:val="18"/>
    </w:rPr>
  </w:style>
  <w:style w:type="paragraph" w:styleId="af">
    <w:name w:val="List Paragraph"/>
    <w:basedOn w:val="a"/>
    <w:uiPriority w:val="99"/>
    <w:rsid w:val="00BB27F2"/>
    <w:pPr>
      <w:ind w:firstLineChars="200" w:firstLine="420"/>
    </w:pPr>
  </w:style>
  <w:style w:type="paragraph" w:styleId="af0">
    <w:name w:val="Revision"/>
    <w:hidden/>
    <w:uiPriority w:val="99"/>
    <w:semiHidden/>
    <w:rsid w:val="00C13F6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宋泽林</cp:lastModifiedBy>
  <cp:revision>5</cp:revision>
  <dcterms:created xsi:type="dcterms:W3CDTF">2025-02-05T08:50:00Z</dcterms:created>
  <dcterms:modified xsi:type="dcterms:W3CDTF">2025-02-06T08:05:00Z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D8721D27222F427A858AB64F0E4C2462_12</vt:lpwstr>
  </property>
  <property fmtid="{D5CDD505-2E9C-101B-9397-08002B2CF9AE}" pid="4" name="KSOTemplateDocerSaveRecord">
    <vt:lpwstr>eyJoZGlkIjoiNDQyYzJiYWY0MDA3NmRkMjNlMGMxNzE5ZWQ4MDBkNTciLCJ1c2VySWQiOiI0MTg0MjU2MDkifQ==</vt:lpwstr>
  </property>
</Properties>
</file>