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B0EC" w14:textId="77777777" w:rsidR="00895407" w:rsidRPr="00745E15" w:rsidRDefault="00591744">
      <w:pPr>
        <w:jc w:val="center"/>
        <w:rPr>
          <w:rFonts w:ascii="宋体" w:hAnsi="宋体"/>
          <w:b/>
          <w:sz w:val="32"/>
          <w:szCs w:val="20"/>
        </w:rPr>
      </w:pPr>
      <w:r w:rsidRPr="00745E15">
        <w:rPr>
          <w:rFonts w:ascii="宋体" w:hAnsi="宋体" w:hint="eastAsia"/>
          <w:b/>
          <w:sz w:val="32"/>
          <w:szCs w:val="20"/>
        </w:rPr>
        <w:t>江苏中利集团</w:t>
      </w:r>
      <w:r w:rsidRPr="00745E15">
        <w:rPr>
          <w:rFonts w:ascii="宋体" w:hAnsi="宋体"/>
          <w:b/>
          <w:sz w:val="32"/>
          <w:szCs w:val="20"/>
        </w:rPr>
        <w:t>股份有限公司</w:t>
      </w:r>
    </w:p>
    <w:p w14:paraId="71B0806E" w14:textId="77777777" w:rsidR="00895407" w:rsidRPr="00745E15" w:rsidRDefault="00591744">
      <w:pPr>
        <w:jc w:val="center"/>
        <w:rPr>
          <w:rFonts w:ascii="宋体" w:hAnsi="宋体"/>
          <w:b/>
          <w:sz w:val="32"/>
          <w:szCs w:val="20"/>
        </w:rPr>
      </w:pPr>
      <w:r w:rsidRPr="00745E15">
        <w:rPr>
          <w:rFonts w:ascii="宋体" w:hAnsi="宋体"/>
          <w:b/>
          <w:sz w:val="32"/>
          <w:szCs w:val="20"/>
        </w:rPr>
        <w:t>董事会提名委员会实施细则</w:t>
      </w:r>
    </w:p>
    <w:p w14:paraId="0326B3B0" w14:textId="77777777" w:rsidR="00895407" w:rsidRDefault="00895407">
      <w:pPr>
        <w:adjustRightInd w:val="0"/>
        <w:snapToGrid w:val="0"/>
        <w:spacing w:line="360" w:lineRule="auto"/>
        <w:ind w:firstLineChars="200" w:firstLine="880"/>
        <w:jc w:val="center"/>
        <w:rPr>
          <w:rFonts w:eastAsia="黑体"/>
          <w:kern w:val="0"/>
          <w:sz w:val="44"/>
          <w:szCs w:val="44"/>
        </w:rPr>
      </w:pPr>
    </w:p>
    <w:p w14:paraId="4C9F8C8D" w14:textId="77777777" w:rsidR="00895407" w:rsidRDefault="00591744">
      <w:pPr>
        <w:numPr>
          <w:ilvl w:val="0"/>
          <w:numId w:val="1"/>
        </w:numPr>
        <w:tabs>
          <w:tab w:val="left" w:pos="840"/>
        </w:tabs>
        <w:adjustRightInd w:val="0"/>
        <w:snapToGrid w:val="0"/>
        <w:spacing w:after="240" w:line="360" w:lineRule="auto"/>
        <w:ind w:left="0" w:firstLine="0"/>
        <w:jc w:val="center"/>
        <w:rPr>
          <w:rFonts w:ascii="宋体" w:hAnsi="宋体"/>
          <w:b/>
          <w:bCs/>
          <w:color w:val="000000"/>
          <w:kern w:val="0"/>
          <w:sz w:val="24"/>
        </w:rPr>
      </w:pPr>
      <w:r>
        <w:rPr>
          <w:rFonts w:ascii="宋体" w:hAnsi="宋体"/>
          <w:b/>
          <w:bCs/>
          <w:color w:val="000000"/>
          <w:kern w:val="0"/>
          <w:sz w:val="24"/>
        </w:rPr>
        <w:t xml:space="preserve"> 总则</w:t>
      </w:r>
    </w:p>
    <w:p w14:paraId="1FFEC10A" w14:textId="0ADADBE1"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为规范公司领导人员的产生,优化董事会</w:t>
      </w:r>
      <w:r>
        <w:rPr>
          <w:rFonts w:ascii="宋体" w:hAnsi="宋体" w:hint="eastAsia"/>
          <w:color w:val="000000"/>
          <w:kern w:val="0"/>
          <w:sz w:val="24"/>
        </w:rPr>
        <w:t>和高级管理层的</w:t>
      </w:r>
      <w:r>
        <w:rPr>
          <w:rFonts w:ascii="宋体" w:hAnsi="宋体"/>
          <w:color w:val="000000"/>
          <w:kern w:val="0"/>
          <w:sz w:val="24"/>
        </w:rPr>
        <w:t>组成,完善公司治理结构,</w:t>
      </w:r>
      <w:r>
        <w:rPr>
          <w:rFonts w:ascii="宋体" w:hAnsi="宋体" w:hint="eastAsia"/>
          <w:color w:val="000000"/>
          <w:kern w:val="0"/>
          <w:sz w:val="24"/>
        </w:rPr>
        <w:t>根据</w:t>
      </w:r>
      <w:bookmarkStart w:id="0" w:name="_Hlk189646125"/>
      <w:r w:rsidR="00F01871">
        <w:rPr>
          <w:rFonts w:ascii="宋体" w:hAnsi="宋体" w:hint="eastAsia"/>
          <w:color w:val="000000"/>
          <w:kern w:val="0"/>
          <w:sz w:val="24"/>
        </w:rPr>
        <w:t>《中华人民共和国公司法》、《江苏中利集团股份有限公司章程》及其他</w:t>
      </w:r>
      <w:r>
        <w:rPr>
          <w:rFonts w:ascii="宋体" w:hAnsi="宋体" w:hint="eastAsia"/>
          <w:color w:val="000000"/>
          <w:kern w:val="0"/>
          <w:sz w:val="24"/>
        </w:rPr>
        <w:t>相关规定</w:t>
      </w:r>
      <w:bookmarkEnd w:id="0"/>
      <w:r>
        <w:rPr>
          <w:rFonts w:ascii="宋体" w:hAnsi="宋体" w:hint="eastAsia"/>
          <w:color w:val="000000"/>
          <w:kern w:val="0"/>
          <w:sz w:val="24"/>
        </w:rPr>
        <w:t>，</w:t>
      </w:r>
      <w:r>
        <w:rPr>
          <w:rFonts w:ascii="宋体" w:hAnsi="宋体"/>
          <w:color w:val="000000"/>
          <w:kern w:val="0"/>
          <w:sz w:val="24"/>
        </w:rPr>
        <w:t>特制定本实施细则。</w:t>
      </w:r>
    </w:p>
    <w:p w14:paraId="3CE380F3"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董事会提名委员会</w:t>
      </w:r>
      <w:r>
        <w:rPr>
          <w:rFonts w:ascii="宋体" w:hAnsi="宋体" w:hint="eastAsia"/>
          <w:color w:val="000000"/>
          <w:kern w:val="0"/>
          <w:sz w:val="24"/>
        </w:rPr>
        <w:t>（以下简称“提名委员会”）</w:t>
      </w:r>
      <w:r>
        <w:rPr>
          <w:rFonts w:ascii="宋体" w:hAnsi="宋体"/>
          <w:color w:val="000000"/>
          <w:kern w:val="0"/>
          <w:sz w:val="24"/>
        </w:rPr>
        <w:t>是董事会按照</w:t>
      </w:r>
      <w:r>
        <w:rPr>
          <w:rFonts w:ascii="宋体" w:hAnsi="宋体" w:hint="eastAsia"/>
          <w:color w:val="000000"/>
          <w:kern w:val="0"/>
          <w:sz w:val="24"/>
        </w:rPr>
        <w:t>公司章程规定</w:t>
      </w:r>
      <w:r>
        <w:rPr>
          <w:rFonts w:ascii="宋体" w:hAnsi="宋体"/>
          <w:color w:val="000000"/>
          <w:kern w:val="0"/>
          <w:sz w:val="24"/>
        </w:rPr>
        <w:t>设立的专门工作机构,</w:t>
      </w:r>
      <w:r>
        <w:rPr>
          <w:rFonts w:ascii="宋体" w:hAnsi="宋体" w:hint="eastAsia"/>
          <w:color w:val="000000"/>
          <w:kern w:val="0"/>
          <w:sz w:val="24"/>
        </w:rPr>
        <w:t>对董事会负责</w:t>
      </w:r>
      <w:r>
        <w:rPr>
          <w:rFonts w:ascii="宋体" w:hAnsi="宋体"/>
          <w:color w:val="000000"/>
          <w:kern w:val="0"/>
          <w:sz w:val="24"/>
        </w:rPr>
        <w:t>。</w:t>
      </w:r>
    </w:p>
    <w:p w14:paraId="67598BBB" w14:textId="77777777" w:rsidR="00895407" w:rsidRDefault="00895407">
      <w:pPr>
        <w:autoSpaceDE w:val="0"/>
        <w:autoSpaceDN w:val="0"/>
        <w:adjustRightInd w:val="0"/>
        <w:snapToGrid w:val="0"/>
        <w:spacing w:line="360" w:lineRule="auto"/>
        <w:ind w:firstLineChars="200" w:firstLine="480"/>
        <w:jc w:val="left"/>
        <w:rPr>
          <w:rFonts w:ascii="宋体" w:hAnsi="宋体"/>
          <w:color w:val="000000"/>
          <w:kern w:val="0"/>
          <w:sz w:val="24"/>
        </w:rPr>
      </w:pPr>
    </w:p>
    <w:p w14:paraId="0EE34EBB" w14:textId="77777777" w:rsidR="00895407" w:rsidRDefault="00591744">
      <w:pPr>
        <w:numPr>
          <w:ilvl w:val="0"/>
          <w:numId w:val="1"/>
        </w:numPr>
        <w:tabs>
          <w:tab w:val="left" w:pos="840"/>
        </w:tabs>
        <w:adjustRightInd w:val="0"/>
        <w:snapToGrid w:val="0"/>
        <w:spacing w:after="240" w:line="360" w:lineRule="auto"/>
        <w:ind w:left="0" w:firstLine="0"/>
        <w:jc w:val="center"/>
        <w:rPr>
          <w:rFonts w:ascii="黑体" w:eastAsia="黑体" w:hAnsi="宋体"/>
          <w:color w:val="000000"/>
          <w:kern w:val="0"/>
          <w:sz w:val="24"/>
        </w:rPr>
      </w:pPr>
      <w:r>
        <w:rPr>
          <w:rFonts w:ascii="宋体" w:hAnsi="宋体" w:hint="eastAsia"/>
          <w:b/>
          <w:bCs/>
          <w:color w:val="000000"/>
          <w:kern w:val="0"/>
          <w:sz w:val="24"/>
        </w:rPr>
        <w:t>人员组成</w:t>
      </w:r>
    </w:p>
    <w:p w14:paraId="0CF27353"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提名委员会成员由三名董事组成,独立董事占多数。</w:t>
      </w:r>
    </w:p>
    <w:p w14:paraId="421EED95"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提名委员会委员由董事长、二分之一以上独立董事或者全体董事的三分之一提名,并由董事会选举产生。</w:t>
      </w:r>
    </w:p>
    <w:p w14:paraId="10523B68"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提名委员会设主任委员（召集人）一名,由独立董事委员担任,负责主持委员会工作；主任委员在委员内选举,并报请董事会批准产生。</w:t>
      </w:r>
    </w:p>
    <w:p w14:paraId="1220F3A8"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 xml:space="preserve">提名委员会任期与董事会任期一致,委员任期届满,连选可以连任。期间如有委员不再担任公司董事职务,自动失去委员资格,并由董事会根据上述第三至第五条规定补足委员人数。 </w:t>
      </w:r>
    </w:p>
    <w:p w14:paraId="165B2284" w14:textId="77777777" w:rsidR="00895407" w:rsidRDefault="00895407">
      <w:pPr>
        <w:autoSpaceDE w:val="0"/>
        <w:autoSpaceDN w:val="0"/>
        <w:adjustRightInd w:val="0"/>
        <w:snapToGrid w:val="0"/>
        <w:spacing w:line="360" w:lineRule="auto"/>
        <w:ind w:firstLineChars="200" w:firstLine="480"/>
        <w:rPr>
          <w:rFonts w:ascii="宋体" w:hAnsi="宋体"/>
          <w:color w:val="000000"/>
          <w:kern w:val="0"/>
          <w:sz w:val="24"/>
        </w:rPr>
      </w:pPr>
    </w:p>
    <w:p w14:paraId="0A2B904A" w14:textId="77777777" w:rsidR="00895407" w:rsidRDefault="00591744">
      <w:pPr>
        <w:numPr>
          <w:ilvl w:val="0"/>
          <w:numId w:val="1"/>
        </w:numPr>
        <w:tabs>
          <w:tab w:val="left" w:pos="840"/>
        </w:tabs>
        <w:adjustRightInd w:val="0"/>
        <w:snapToGrid w:val="0"/>
        <w:spacing w:after="240" w:line="360" w:lineRule="auto"/>
        <w:ind w:left="0" w:firstLine="0"/>
        <w:jc w:val="center"/>
        <w:rPr>
          <w:rFonts w:ascii="宋体" w:hAnsi="宋体"/>
          <w:b/>
          <w:bCs/>
          <w:color w:val="000000"/>
          <w:kern w:val="0"/>
          <w:sz w:val="24"/>
        </w:rPr>
      </w:pPr>
      <w:r>
        <w:rPr>
          <w:rFonts w:ascii="宋体" w:hAnsi="宋体" w:hint="eastAsia"/>
          <w:b/>
          <w:bCs/>
          <w:color w:val="000000"/>
          <w:kern w:val="0"/>
          <w:sz w:val="24"/>
        </w:rPr>
        <w:t>职责权限</w:t>
      </w:r>
    </w:p>
    <w:p w14:paraId="517F3121"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提名委员会的主要职责权限：</w:t>
      </w:r>
    </w:p>
    <w:p w14:paraId="43E640AE"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color w:val="000000"/>
          <w:kern w:val="0"/>
          <w:sz w:val="24"/>
        </w:rPr>
        <w:t>根据公司经营活动情况、资产规模和股权结构对董事会的规模和构成向董事会提出建议；</w:t>
      </w:r>
    </w:p>
    <w:p w14:paraId="53FC3C31" w14:textId="166702F9"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hint="eastAsia"/>
          <w:color w:val="000000"/>
          <w:kern w:val="0"/>
          <w:sz w:val="24"/>
        </w:rPr>
        <w:t>根据相关法律法规，</w:t>
      </w:r>
      <w:r>
        <w:rPr>
          <w:rFonts w:ascii="宋体" w:hAnsi="宋体"/>
          <w:color w:val="000000"/>
          <w:kern w:val="0"/>
          <w:sz w:val="24"/>
        </w:rPr>
        <w:t>研究董事、</w:t>
      </w:r>
      <w:r>
        <w:rPr>
          <w:rFonts w:ascii="宋体" w:hAnsi="宋体" w:hint="eastAsia"/>
          <w:color w:val="000000"/>
          <w:kern w:val="0"/>
          <w:sz w:val="24"/>
        </w:rPr>
        <w:t>高级管理人员</w:t>
      </w:r>
      <w:r>
        <w:rPr>
          <w:rFonts w:ascii="宋体" w:hAnsi="宋体"/>
          <w:color w:val="000000"/>
          <w:kern w:val="0"/>
          <w:sz w:val="24"/>
        </w:rPr>
        <w:t>的选择标准和程序,并向董事会提出建议；</w:t>
      </w:r>
    </w:p>
    <w:p w14:paraId="4C0E6F8A" w14:textId="08E9C44E"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color w:val="000000"/>
          <w:kern w:val="0"/>
          <w:sz w:val="24"/>
        </w:rPr>
        <w:t>广泛搜寻合格的董事、</w:t>
      </w:r>
      <w:r>
        <w:rPr>
          <w:rFonts w:ascii="宋体" w:hAnsi="宋体" w:hint="eastAsia"/>
          <w:color w:val="000000"/>
          <w:kern w:val="0"/>
          <w:sz w:val="24"/>
        </w:rPr>
        <w:t>高级管理人员</w:t>
      </w:r>
      <w:r>
        <w:rPr>
          <w:rFonts w:ascii="宋体" w:hAnsi="宋体"/>
          <w:color w:val="000000"/>
          <w:kern w:val="0"/>
          <w:sz w:val="24"/>
        </w:rPr>
        <w:t>的人选；</w:t>
      </w:r>
    </w:p>
    <w:p w14:paraId="26D8836A" w14:textId="0B1CA082"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color w:val="000000"/>
          <w:kern w:val="0"/>
          <w:sz w:val="24"/>
        </w:rPr>
        <w:lastRenderedPageBreak/>
        <w:t>对董事、</w:t>
      </w:r>
      <w:r>
        <w:rPr>
          <w:rFonts w:ascii="宋体" w:hAnsi="宋体" w:hint="eastAsia"/>
          <w:color w:val="000000"/>
          <w:kern w:val="0"/>
          <w:sz w:val="24"/>
        </w:rPr>
        <w:t>高级管理人员的候选</w:t>
      </w:r>
      <w:r>
        <w:rPr>
          <w:rFonts w:ascii="宋体" w:hAnsi="宋体"/>
          <w:color w:val="000000"/>
          <w:kern w:val="0"/>
          <w:sz w:val="24"/>
        </w:rPr>
        <w:t>人进行审查并提出建议；</w:t>
      </w:r>
    </w:p>
    <w:p w14:paraId="7D2F58A9"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color w:val="000000"/>
          <w:kern w:val="0"/>
          <w:sz w:val="24"/>
        </w:rPr>
        <w:t>董事会授权的其他事宜。</w:t>
      </w:r>
    </w:p>
    <w:p w14:paraId="07157713"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提名委员会对董事会负责,委员会的提案提交董事会审议决定</w:t>
      </w:r>
      <w:r>
        <w:rPr>
          <w:rFonts w:ascii="宋体" w:hAnsi="宋体" w:hint="eastAsia"/>
          <w:color w:val="000000"/>
          <w:kern w:val="0"/>
          <w:sz w:val="24"/>
        </w:rPr>
        <w:t>。</w:t>
      </w:r>
    </w:p>
    <w:p w14:paraId="6683E28B" w14:textId="77777777"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董事会提名委员会负责拟定董事、高级管理人员的选择标准和程序，对董事、高级管理人员人选及其任职资格进行遴选、审核，并就下列事项向董事会提出建议：</w:t>
      </w:r>
    </w:p>
    <w:p w14:paraId="426B6375" w14:textId="77777777" w:rsidR="00895407" w:rsidRDefault="00591744">
      <w:pPr>
        <w:numPr>
          <w:ilvl w:val="255"/>
          <w:numId w:val="0"/>
        </w:numPr>
        <w:tabs>
          <w:tab w:val="left" w:pos="1080"/>
        </w:tabs>
        <w:adjustRightInd w:val="0"/>
        <w:snapToGrid w:val="0"/>
        <w:spacing w:line="360" w:lineRule="auto"/>
        <w:ind w:leftChars="200" w:left="420"/>
        <w:rPr>
          <w:rFonts w:ascii="宋体" w:hAnsi="宋体"/>
          <w:color w:val="000000"/>
          <w:kern w:val="0"/>
          <w:sz w:val="24"/>
        </w:rPr>
      </w:pPr>
      <w:bookmarkStart w:id="1" w:name="No121_Z3T27K1X1"/>
      <w:bookmarkEnd w:id="1"/>
      <w:r>
        <w:rPr>
          <w:rFonts w:ascii="宋体" w:hAnsi="宋体"/>
          <w:color w:val="000000"/>
          <w:kern w:val="0"/>
          <w:sz w:val="24"/>
        </w:rPr>
        <w:t>（一）提名或者任免董事；</w:t>
      </w:r>
      <w:bookmarkStart w:id="2" w:name="No122_Z3T27K1X2"/>
      <w:bookmarkEnd w:id="2"/>
    </w:p>
    <w:p w14:paraId="5BC8B8AC" w14:textId="77777777" w:rsidR="00895407" w:rsidRDefault="00591744">
      <w:pPr>
        <w:numPr>
          <w:ilvl w:val="255"/>
          <w:numId w:val="0"/>
        </w:numPr>
        <w:tabs>
          <w:tab w:val="left" w:pos="1080"/>
        </w:tabs>
        <w:adjustRightInd w:val="0"/>
        <w:snapToGrid w:val="0"/>
        <w:spacing w:line="360" w:lineRule="auto"/>
        <w:ind w:leftChars="200" w:left="420"/>
        <w:rPr>
          <w:rFonts w:ascii="宋体" w:hAnsi="宋体"/>
          <w:color w:val="000000"/>
          <w:kern w:val="0"/>
          <w:sz w:val="24"/>
        </w:rPr>
      </w:pPr>
      <w:r>
        <w:rPr>
          <w:rFonts w:ascii="宋体" w:hAnsi="宋体"/>
          <w:color w:val="000000"/>
          <w:kern w:val="0"/>
          <w:sz w:val="24"/>
        </w:rPr>
        <w:t>（二）聘任或者解聘高级管理人员；</w:t>
      </w:r>
    </w:p>
    <w:p w14:paraId="5318170C" w14:textId="77777777" w:rsidR="00895407" w:rsidRDefault="00591744">
      <w:pPr>
        <w:numPr>
          <w:ilvl w:val="255"/>
          <w:numId w:val="0"/>
        </w:numPr>
        <w:tabs>
          <w:tab w:val="left" w:pos="1080"/>
        </w:tabs>
        <w:adjustRightInd w:val="0"/>
        <w:snapToGrid w:val="0"/>
        <w:spacing w:line="360" w:lineRule="auto"/>
        <w:ind w:leftChars="200" w:left="420"/>
        <w:rPr>
          <w:rFonts w:ascii="宋体" w:hAnsi="宋体"/>
          <w:color w:val="000000"/>
          <w:kern w:val="0"/>
          <w:sz w:val="24"/>
        </w:rPr>
      </w:pPr>
      <w:bookmarkStart w:id="3" w:name="No123_Z3T27K1X3"/>
      <w:bookmarkEnd w:id="3"/>
      <w:r>
        <w:rPr>
          <w:rFonts w:ascii="宋体" w:hAnsi="宋体"/>
          <w:color w:val="000000"/>
          <w:kern w:val="0"/>
          <w:sz w:val="24"/>
        </w:rPr>
        <w:t>（三）法律、行政法规、中国证监会规定和公司章程规定的其他事项。</w:t>
      </w:r>
    </w:p>
    <w:p w14:paraId="557CE215" w14:textId="77777777" w:rsidR="00895407" w:rsidRDefault="00591744">
      <w:pPr>
        <w:numPr>
          <w:ilvl w:val="255"/>
          <w:numId w:val="0"/>
        </w:numPr>
        <w:tabs>
          <w:tab w:val="left" w:pos="1080"/>
        </w:tabs>
        <w:adjustRightInd w:val="0"/>
        <w:snapToGrid w:val="0"/>
        <w:spacing w:line="360" w:lineRule="auto"/>
        <w:ind w:firstLineChars="200" w:firstLine="480"/>
        <w:rPr>
          <w:rFonts w:ascii="宋体" w:hAnsi="宋体"/>
          <w:color w:val="000000"/>
          <w:kern w:val="0"/>
          <w:sz w:val="24"/>
        </w:rPr>
      </w:pPr>
      <w:bookmarkStart w:id="4" w:name="No124_Z3T27K2"/>
      <w:bookmarkEnd w:id="4"/>
      <w:r>
        <w:rPr>
          <w:rFonts w:ascii="宋体" w:hAnsi="宋体"/>
          <w:color w:val="000000"/>
          <w:kern w:val="0"/>
          <w:sz w:val="24"/>
        </w:rPr>
        <w:t>董事会对提名委员会的建议未采纳或者未完全采纳的，应当在董事会决议中记载提名委员会的意见及未采纳的具体理由，并进行披露。</w:t>
      </w:r>
    </w:p>
    <w:p w14:paraId="5E2ACA3C" w14:textId="77777777" w:rsidR="00895407" w:rsidRDefault="00895407">
      <w:pPr>
        <w:autoSpaceDE w:val="0"/>
        <w:autoSpaceDN w:val="0"/>
        <w:adjustRightInd w:val="0"/>
        <w:snapToGrid w:val="0"/>
        <w:spacing w:line="360" w:lineRule="auto"/>
        <w:ind w:firstLineChars="200" w:firstLine="480"/>
        <w:jc w:val="left"/>
        <w:rPr>
          <w:rFonts w:ascii="宋体" w:hAnsi="宋体"/>
          <w:color w:val="000000"/>
          <w:kern w:val="0"/>
          <w:sz w:val="24"/>
        </w:rPr>
      </w:pPr>
    </w:p>
    <w:p w14:paraId="1EADD161" w14:textId="77777777" w:rsidR="00895407" w:rsidRDefault="00591744">
      <w:pPr>
        <w:numPr>
          <w:ilvl w:val="0"/>
          <w:numId w:val="1"/>
        </w:numPr>
        <w:tabs>
          <w:tab w:val="left" w:pos="840"/>
        </w:tabs>
        <w:adjustRightInd w:val="0"/>
        <w:snapToGrid w:val="0"/>
        <w:spacing w:after="240" w:line="360" w:lineRule="auto"/>
        <w:ind w:left="0" w:firstLine="0"/>
        <w:jc w:val="center"/>
        <w:rPr>
          <w:rFonts w:ascii="宋体" w:hAnsi="宋体"/>
          <w:b/>
          <w:bCs/>
          <w:color w:val="000000"/>
          <w:kern w:val="0"/>
          <w:sz w:val="24"/>
        </w:rPr>
      </w:pPr>
      <w:r>
        <w:rPr>
          <w:rFonts w:ascii="宋体" w:hAnsi="宋体" w:hint="eastAsia"/>
          <w:b/>
          <w:bCs/>
          <w:color w:val="000000"/>
          <w:kern w:val="0"/>
          <w:sz w:val="24"/>
        </w:rPr>
        <w:t>工作程序</w:t>
      </w:r>
    </w:p>
    <w:p w14:paraId="10764D50" w14:textId="14ED66D0" w:rsidR="00895407" w:rsidRDefault="00BE022E">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 xml:space="preserve"> </w:t>
      </w:r>
      <w:r w:rsidR="00591744">
        <w:rPr>
          <w:rFonts w:ascii="宋体" w:hAnsi="宋体"/>
          <w:color w:val="000000"/>
          <w:kern w:val="0"/>
          <w:sz w:val="24"/>
        </w:rPr>
        <w:t>提名委员会依据相关法律法规和公司章程的规定,结合本公司实际情况,研究公司的董事、</w:t>
      </w:r>
      <w:r w:rsidR="00591744">
        <w:rPr>
          <w:rFonts w:ascii="宋体" w:hAnsi="宋体" w:hint="eastAsia"/>
          <w:color w:val="000000"/>
          <w:kern w:val="0"/>
          <w:sz w:val="24"/>
        </w:rPr>
        <w:t>高级管理人员</w:t>
      </w:r>
      <w:r w:rsidR="00591744">
        <w:rPr>
          <w:rFonts w:ascii="宋体" w:hAnsi="宋体"/>
          <w:color w:val="000000"/>
          <w:kern w:val="0"/>
          <w:sz w:val="24"/>
        </w:rPr>
        <w:t>的当选条件、选择程序和任职期限,形成决议后备案并提交董事会通过,并遵照实施。</w:t>
      </w:r>
    </w:p>
    <w:p w14:paraId="507934AA" w14:textId="77744A80" w:rsidR="00895407" w:rsidRDefault="00591744">
      <w:pPr>
        <w:numPr>
          <w:ilvl w:val="1"/>
          <w:numId w:val="2"/>
        </w:numPr>
        <w:tabs>
          <w:tab w:val="clear" w:pos="1350"/>
          <w:tab w:val="left" w:pos="108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董事、</w:t>
      </w:r>
      <w:r>
        <w:rPr>
          <w:rFonts w:ascii="宋体" w:hAnsi="宋体" w:hint="eastAsia"/>
          <w:color w:val="000000"/>
          <w:kern w:val="0"/>
          <w:sz w:val="24"/>
        </w:rPr>
        <w:t>高级管理人员</w:t>
      </w:r>
      <w:r>
        <w:rPr>
          <w:rFonts w:ascii="宋体" w:hAnsi="宋体"/>
          <w:color w:val="000000"/>
          <w:kern w:val="0"/>
          <w:sz w:val="24"/>
        </w:rPr>
        <w:t>的选任程序：</w:t>
      </w:r>
    </w:p>
    <w:p w14:paraId="5C7CF018"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jc w:val="left"/>
        <w:rPr>
          <w:rFonts w:ascii="宋体" w:hAnsi="宋体"/>
          <w:color w:val="000000"/>
          <w:kern w:val="0"/>
          <w:sz w:val="24"/>
        </w:rPr>
      </w:pPr>
      <w:r>
        <w:rPr>
          <w:rFonts w:ascii="宋体" w:hAnsi="宋体"/>
          <w:color w:val="000000"/>
          <w:kern w:val="0"/>
          <w:sz w:val="24"/>
        </w:rPr>
        <w:t>提名委员会应积极与公司有关部门进行交流,研究公司对新</w:t>
      </w:r>
      <w:r>
        <w:rPr>
          <w:rFonts w:ascii="宋体" w:hAnsi="宋体" w:hint="eastAsia"/>
          <w:color w:val="000000"/>
          <w:kern w:val="0"/>
          <w:sz w:val="24"/>
        </w:rPr>
        <w:t>聘</w:t>
      </w:r>
      <w:r>
        <w:rPr>
          <w:rFonts w:ascii="宋体" w:hAnsi="宋体"/>
          <w:color w:val="000000"/>
          <w:kern w:val="0"/>
          <w:sz w:val="24"/>
        </w:rPr>
        <w:t>人员的需求情况,并形成书面材料；</w:t>
      </w:r>
    </w:p>
    <w:p w14:paraId="5A271540"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jc w:val="left"/>
        <w:rPr>
          <w:rFonts w:ascii="宋体" w:hAnsi="宋体"/>
          <w:color w:val="000000"/>
          <w:kern w:val="0"/>
          <w:sz w:val="24"/>
        </w:rPr>
      </w:pPr>
      <w:r>
        <w:rPr>
          <w:rFonts w:ascii="宋体" w:hAnsi="宋体"/>
          <w:color w:val="000000"/>
          <w:kern w:val="0"/>
          <w:sz w:val="24"/>
        </w:rPr>
        <w:t>提名委员会可在本公司、控股（参股）企业内部以及人才市场等广泛搜寻</w:t>
      </w:r>
      <w:r>
        <w:rPr>
          <w:rFonts w:ascii="宋体" w:hAnsi="宋体" w:hint="eastAsia"/>
          <w:color w:val="000000"/>
          <w:kern w:val="0"/>
          <w:sz w:val="24"/>
        </w:rPr>
        <w:t>合适的新聘人</w:t>
      </w:r>
      <w:r>
        <w:rPr>
          <w:rFonts w:ascii="宋体" w:hAnsi="宋体"/>
          <w:color w:val="000000"/>
          <w:kern w:val="0"/>
          <w:sz w:val="24"/>
        </w:rPr>
        <w:t>选；</w:t>
      </w:r>
    </w:p>
    <w:p w14:paraId="0547D22A"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jc w:val="left"/>
        <w:rPr>
          <w:rFonts w:ascii="宋体" w:hAnsi="宋体"/>
          <w:color w:val="000000"/>
          <w:kern w:val="0"/>
          <w:sz w:val="24"/>
        </w:rPr>
      </w:pPr>
      <w:r>
        <w:rPr>
          <w:rFonts w:ascii="宋体" w:hAnsi="宋体"/>
          <w:color w:val="000000"/>
          <w:kern w:val="0"/>
          <w:sz w:val="24"/>
        </w:rPr>
        <w:t>搜集初选人的职业、学历、职称、详细的工作经历、全部兼职等情况,形成书面材料；</w:t>
      </w:r>
    </w:p>
    <w:p w14:paraId="7EE40A41"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jc w:val="left"/>
        <w:rPr>
          <w:rFonts w:ascii="宋体" w:hAnsi="宋体"/>
          <w:color w:val="000000"/>
          <w:kern w:val="0"/>
          <w:sz w:val="24"/>
        </w:rPr>
      </w:pPr>
      <w:r>
        <w:rPr>
          <w:rFonts w:ascii="宋体" w:hAnsi="宋体"/>
          <w:color w:val="000000"/>
          <w:kern w:val="0"/>
          <w:sz w:val="24"/>
        </w:rPr>
        <w:t>征求被提名人对提名的同意,否则不能将其</w:t>
      </w:r>
      <w:r>
        <w:rPr>
          <w:rFonts w:ascii="宋体" w:hAnsi="宋体" w:hint="eastAsia"/>
          <w:color w:val="000000"/>
          <w:kern w:val="0"/>
          <w:sz w:val="24"/>
        </w:rPr>
        <w:t>列入候聘</w:t>
      </w:r>
      <w:r>
        <w:rPr>
          <w:rFonts w:ascii="宋体" w:hAnsi="宋体"/>
          <w:color w:val="000000"/>
          <w:kern w:val="0"/>
          <w:sz w:val="24"/>
        </w:rPr>
        <w:t>人选；</w:t>
      </w:r>
    </w:p>
    <w:p w14:paraId="40DD6B32" w14:textId="435B0A2F"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color w:val="000000"/>
          <w:kern w:val="0"/>
          <w:sz w:val="24"/>
        </w:rPr>
        <w:t>召集提名委员会会议,根据董事、</w:t>
      </w:r>
      <w:r>
        <w:rPr>
          <w:rFonts w:ascii="宋体" w:hAnsi="宋体" w:hint="eastAsia"/>
          <w:color w:val="000000"/>
          <w:kern w:val="0"/>
          <w:sz w:val="24"/>
        </w:rPr>
        <w:t>高级管理人员</w:t>
      </w:r>
      <w:r>
        <w:rPr>
          <w:rFonts w:ascii="宋体" w:hAnsi="宋体"/>
          <w:color w:val="000000"/>
          <w:kern w:val="0"/>
          <w:sz w:val="24"/>
        </w:rPr>
        <w:t>的任职条件,对初选人员进行资格审查；</w:t>
      </w:r>
    </w:p>
    <w:p w14:paraId="660D94CA"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rPr>
          <w:rFonts w:ascii="宋体" w:hAnsi="宋体"/>
          <w:color w:val="000000"/>
          <w:kern w:val="0"/>
          <w:sz w:val="24"/>
        </w:rPr>
      </w:pPr>
      <w:r>
        <w:rPr>
          <w:rFonts w:ascii="宋体" w:hAnsi="宋体" w:hint="eastAsia"/>
          <w:color w:val="000000"/>
          <w:kern w:val="0"/>
          <w:sz w:val="24"/>
        </w:rPr>
        <w:t>在选举新的董事和聘任新的高级管理人员前，向董事会提出董事候选人和新聘任高级管理人员人选的建议和相关材料；</w:t>
      </w:r>
    </w:p>
    <w:p w14:paraId="0B855560" w14:textId="77777777" w:rsidR="00895407" w:rsidRDefault="00591744">
      <w:pPr>
        <w:numPr>
          <w:ilvl w:val="2"/>
          <w:numId w:val="2"/>
        </w:numPr>
        <w:tabs>
          <w:tab w:val="clear" w:pos="360"/>
          <w:tab w:val="left" w:pos="1440"/>
        </w:tabs>
        <w:autoSpaceDE w:val="0"/>
        <w:autoSpaceDN w:val="0"/>
        <w:adjustRightInd w:val="0"/>
        <w:snapToGrid w:val="0"/>
        <w:spacing w:line="360" w:lineRule="auto"/>
        <w:ind w:left="0" w:firstLineChars="200"/>
        <w:jc w:val="left"/>
        <w:rPr>
          <w:rFonts w:ascii="宋体" w:hAnsi="宋体"/>
          <w:color w:val="000000"/>
          <w:kern w:val="0"/>
          <w:sz w:val="24"/>
        </w:rPr>
      </w:pPr>
      <w:r>
        <w:rPr>
          <w:rFonts w:ascii="宋体" w:hAnsi="宋体"/>
          <w:color w:val="000000"/>
          <w:kern w:val="0"/>
          <w:sz w:val="24"/>
        </w:rPr>
        <w:t>根据董事会决定和反馈意见进行其他后续工作。</w:t>
      </w:r>
    </w:p>
    <w:p w14:paraId="5DBA5A2F" w14:textId="77777777" w:rsidR="00895407" w:rsidRDefault="00591744">
      <w:pPr>
        <w:numPr>
          <w:ilvl w:val="0"/>
          <w:numId w:val="1"/>
        </w:numPr>
        <w:tabs>
          <w:tab w:val="left" w:pos="840"/>
        </w:tabs>
        <w:adjustRightInd w:val="0"/>
        <w:snapToGrid w:val="0"/>
        <w:spacing w:after="240" w:line="360" w:lineRule="auto"/>
        <w:ind w:left="0" w:firstLine="0"/>
        <w:jc w:val="center"/>
        <w:rPr>
          <w:rFonts w:ascii="宋体" w:hAnsi="宋体"/>
          <w:b/>
          <w:bCs/>
          <w:color w:val="000000"/>
          <w:kern w:val="0"/>
          <w:sz w:val="24"/>
        </w:rPr>
      </w:pPr>
      <w:r>
        <w:rPr>
          <w:rFonts w:ascii="宋体" w:hAnsi="宋体" w:hint="eastAsia"/>
          <w:b/>
          <w:bCs/>
          <w:color w:val="000000"/>
          <w:kern w:val="0"/>
          <w:sz w:val="24"/>
        </w:rPr>
        <w:lastRenderedPageBreak/>
        <w:t>议事规则</w:t>
      </w:r>
    </w:p>
    <w:p w14:paraId="17F818C9"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w:t>
      </w:r>
      <w:r>
        <w:rPr>
          <w:rFonts w:ascii="宋体" w:hAnsi="宋体" w:hint="eastAsia"/>
          <w:color w:val="000000"/>
          <w:kern w:val="0"/>
          <w:sz w:val="24"/>
        </w:rPr>
        <w:t>会议根据工作需要召开</w:t>
      </w:r>
      <w:r>
        <w:rPr>
          <w:rFonts w:ascii="宋体" w:hAnsi="宋体"/>
          <w:color w:val="000000"/>
          <w:kern w:val="0"/>
          <w:sz w:val="24"/>
        </w:rPr>
        <w:t>,并于会议召开前</w:t>
      </w:r>
      <w:r>
        <w:rPr>
          <w:rFonts w:ascii="宋体" w:hAnsi="宋体" w:hint="eastAsia"/>
          <w:color w:val="000000"/>
          <w:kern w:val="0"/>
          <w:sz w:val="24"/>
        </w:rPr>
        <w:t>三日</w:t>
      </w:r>
      <w:r>
        <w:rPr>
          <w:rFonts w:ascii="宋体" w:hAnsi="宋体"/>
          <w:color w:val="000000"/>
          <w:kern w:val="0"/>
          <w:sz w:val="24"/>
        </w:rPr>
        <w:t>通知全体委员,会议由主任委员主持,主任委员不能出席时可委托其他一名委员（独立董事）主持。</w:t>
      </w:r>
      <w:r>
        <w:rPr>
          <w:rFonts w:ascii="宋体" w:hAnsi="宋体" w:cs="宋体"/>
          <w:sz w:val="24"/>
          <w:szCs w:val="24"/>
        </w:rPr>
        <w:t>情况紧急，需要尽快召开临时会议的，可以随时通过电话或者其他口头方式发出会议通知，但召集人应当在会议上作出说明。</w:t>
      </w:r>
    </w:p>
    <w:p w14:paraId="4DE5E0EA"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提名委员会会议应由三分之二以上的委员出席方可举行</w:t>
      </w:r>
      <w:r>
        <w:rPr>
          <w:rFonts w:ascii="宋体" w:hAnsi="宋体" w:cs="宋体"/>
          <w:sz w:val="24"/>
          <w:szCs w:val="24"/>
        </w:rPr>
        <w:t>，无法出席会议的委员可委托其他委员出席会议，委托方法参照董事会授权委托程序进行</w:t>
      </w:r>
      <w:r>
        <w:rPr>
          <w:rFonts w:ascii="宋体" w:hAnsi="宋体"/>
          <w:color w:val="000000"/>
          <w:kern w:val="0"/>
          <w:sz w:val="24"/>
        </w:rPr>
        <w:t>；每一名委员有一票的表决权；会议做出的决议,必须经全体委员的过半数通过。</w:t>
      </w:r>
    </w:p>
    <w:p w14:paraId="3047AC69" w14:textId="53CD5EFF" w:rsidR="00895407" w:rsidRDefault="00500B6B">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hint="eastAsia"/>
          <w:color w:val="000000"/>
          <w:kern w:val="0"/>
          <w:sz w:val="24"/>
        </w:rPr>
        <w:t>在保证全体参会董事能够充分沟通并表达意见的前提下，提名</w:t>
      </w:r>
      <w:r w:rsidRPr="00D61FC0">
        <w:rPr>
          <w:rFonts w:ascii="宋体" w:hAnsi="宋体" w:hint="eastAsia"/>
          <w:color w:val="000000"/>
          <w:kern w:val="0"/>
          <w:sz w:val="24"/>
        </w:rPr>
        <w:t>委员会会议可以通过现场、通讯或其他方式召开，并可以采取口头、举手、投票等</w:t>
      </w:r>
      <w:r>
        <w:rPr>
          <w:rFonts w:ascii="宋体" w:hAnsi="宋体" w:hint="eastAsia"/>
          <w:color w:val="000000"/>
          <w:kern w:val="0"/>
          <w:sz w:val="24"/>
        </w:rPr>
        <w:t>多种方式进行表决</w:t>
      </w:r>
      <w:r w:rsidR="00591744">
        <w:rPr>
          <w:rFonts w:ascii="宋体" w:hAnsi="宋体"/>
          <w:color w:val="000000"/>
          <w:kern w:val="0"/>
          <w:sz w:val="24"/>
        </w:rPr>
        <w:t>。</w:t>
      </w:r>
    </w:p>
    <w:p w14:paraId="73C8C614"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hint="eastAsia"/>
          <w:color w:val="000000"/>
          <w:kern w:val="0"/>
          <w:sz w:val="24"/>
        </w:rPr>
        <w:t>提名</w:t>
      </w:r>
      <w:r>
        <w:rPr>
          <w:rFonts w:ascii="宋体" w:hAnsi="宋体"/>
          <w:color w:val="000000"/>
          <w:kern w:val="0"/>
          <w:sz w:val="24"/>
        </w:rPr>
        <w:t>委员会委员需对涉及自身相关利益的事项进行表决回避，若因委员回避导致会议无法正常完成对该事项议案表决的，该事项应直接提交董事会审议</w:t>
      </w:r>
      <w:r>
        <w:rPr>
          <w:rFonts w:ascii="宋体" w:hAnsi="宋体" w:hint="eastAsia"/>
          <w:color w:val="000000"/>
          <w:kern w:val="0"/>
          <w:sz w:val="24"/>
        </w:rPr>
        <w:t>。</w:t>
      </w:r>
    </w:p>
    <w:p w14:paraId="3DE9D115" w14:textId="616DED79"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提名委员会会议必要时可邀请公司董事</w:t>
      </w:r>
      <w:r>
        <w:rPr>
          <w:rFonts w:ascii="宋体" w:hAnsi="宋体" w:hint="eastAsia"/>
          <w:color w:val="000000"/>
          <w:kern w:val="0"/>
          <w:sz w:val="24"/>
        </w:rPr>
        <w:t>、</w:t>
      </w:r>
      <w:r>
        <w:rPr>
          <w:rFonts w:ascii="宋体" w:hAnsi="宋体"/>
          <w:color w:val="000000"/>
          <w:kern w:val="0"/>
          <w:sz w:val="24"/>
        </w:rPr>
        <w:t>高级管理人员列席会议。</w:t>
      </w:r>
    </w:p>
    <w:p w14:paraId="0EC4CC1D"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提名委员会会议的召开程序、表决方式和会议通过的议案必须遵循有关法律、法规、公司章程及本细则的规定。</w:t>
      </w:r>
    </w:p>
    <w:p w14:paraId="39A1F2AF"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提名委员会会议应当有记录,出席会议的委员应当在会议记录上签名；会议记录由公司董事会秘书保存</w:t>
      </w:r>
      <w:r>
        <w:rPr>
          <w:rFonts w:ascii="宋体" w:hAnsi="宋体" w:hint="eastAsia"/>
          <w:color w:val="000000"/>
          <w:kern w:val="0"/>
          <w:sz w:val="24"/>
        </w:rPr>
        <w:t>，</w:t>
      </w:r>
      <w:r>
        <w:rPr>
          <w:rFonts w:ascii="宋体" w:hAnsi="宋体" w:cs="宋体"/>
          <w:sz w:val="24"/>
          <w:szCs w:val="24"/>
        </w:rPr>
        <w:t>保存期限至少为10年</w:t>
      </w:r>
      <w:r>
        <w:rPr>
          <w:rFonts w:ascii="宋体" w:hAnsi="宋体"/>
          <w:color w:val="000000"/>
          <w:kern w:val="0"/>
          <w:sz w:val="24"/>
        </w:rPr>
        <w:t>。</w:t>
      </w:r>
    </w:p>
    <w:p w14:paraId="624A0816"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提名委员会会议通过的议案及表决结果,应以书面形式报公司董事会。</w:t>
      </w:r>
    </w:p>
    <w:p w14:paraId="7C8B0A30"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出席会议的委员均对会议所议事项有保密义务,不得擅自披露有关信息。</w:t>
      </w:r>
    </w:p>
    <w:p w14:paraId="4ACDFC4C" w14:textId="77777777" w:rsidR="00895407" w:rsidRDefault="00895407">
      <w:pPr>
        <w:autoSpaceDE w:val="0"/>
        <w:autoSpaceDN w:val="0"/>
        <w:adjustRightInd w:val="0"/>
        <w:snapToGrid w:val="0"/>
        <w:spacing w:line="360" w:lineRule="auto"/>
        <w:jc w:val="left"/>
        <w:rPr>
          <w:rFonts w:ascii="宋体" w:hAnsi="宋体"/>
          <w:color w:val="000000"/>
          <w:kern w:val="0"/>
          <w:sz w:val="24"/>
        </w:rPr>
      </w:pPr>
    </w:p>
    <w:p w14:paraId="5AA6EEC6" w14:textId="77777777" w:rsidR="00895407" w:rsidRDefault="00591744">
      <w:pPr>
        <w:numPr>
          <w:ilvl w:val="0"/>
          <w:numId w:val="1"/>
        </w:numPr>
        <w:tabs>
          <w:tab w:val="left" w:pos="840"/>
        </w:tabs>
        <w:adjustRightInd w:val="0"/>
        <w:snapToGrid w:val="0"/>
        <w:spacing w:after="240" w:line="360" w:lineRule="auto"/>
        <w:ind w:left="0" w:firstLine="0"/>
        <w:jc w:val="center"/>
        <w:rPr>
          <w:rFonts w:ascii="宋体" w:hAnsi="宋体"/>
          <w:b/>
          <w:bCs/>
          <w:color w:val="000000"/>
          <w:kern w:val="0"/>
          <w:sz w:val="24"/>
        </w:rPr>
      </w:pPr>
      <w:r>
        <w:rPr>
          <w:rFonts w:ascii="宋体" w:hAnsi="宋体" w:hint="eastAsia"/>
          <w:b/>
          <w:bCs/>
          <w:color w:val="000000"/>
          <w:kern w:val="0"/>
          <w:sz w:val="24"/>
        </w:rPr>
        <w:t>附则</w:t>
      </w:r>
    </w:p>
    <w:p w14:paraId="0FF2481B"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本实施细则自董事会决议通过之日起</w:t>
      </w:r>
      <w:r>
        <w:rPr>
          <w:rFonts w:ascii="宋体" w:hAnsi="宋体" w:hint="eastAsia"/>
          <w:color w:val="000000"/>
          <w:kern w:val="0"/>
          <w:sz w:val="24"/>
        </w:rPr>
        <w:t>生效并实施</w:t>
      </w:r>
      <w:r>
        <w:rPr>
          <w:rFonts w:ascii="宋体" w:hAnsi="宋体"/>
          <w:color w:val="000000"/>
          <w:kern w:val="0"/>
          <w:sz w:val="24"/>
        </w:rPr>
        <w:t>。</w:t>
      </w:r>
    </w:p>
    <w:p w14:paraId="175E1905"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本实施细则未尽事宜,按国家有关法律、法规和公司章程、《董事会议事规则》的规定执行；本细则如与国家日后颁布的法律、法规或经合法程序修改后的公司章程、《董事会议事规则》相抵触时,按国家有关法律、法</w:t>
      </w:r>
      <w:r>
        <w:rPr>
          <w:rFonts w:ascii="宋体" w:hAnsi="宋体"/>
          <w:color w:val="000000"/>
          <w:kern w:val="0"/>
          <w:sz w:val="24"/>
        </w:rPr>
        <w:lastRenderedPageBreak/>
        <w:t>规和公司章程、《董事会议事规则》的规定执行,并立即修订,报董事会审议通过。</w:t>
      </w:r>
    </w:p>
    <w:p w14:paraId="30A37501" w14:textId="77777777" w:rsidR="00895407" w:rsidRDefault="00591744">
      <w:pPr>
        <w:numPr>
          <w:ilvl w:val="1"/>
          <w:numId w:val="2"/>
        </w:numPr>
        <w:tabs>
          <w:tab w:val="clear" w:pos="1350"/>
          <w:tab w:val="left" w:pos="1260"/>
        </w:tabs>
        <w:adjustRightInd w:val="0"/>
        <w:snapToGrid w:val="0"/>
        <w:spacing w:line="360" w:lineRule="auto"/>
        <w:ind w:left="0" w:firstLineChars="200" w:firstLine="480"/>
        <w:rPr>
          <w:rFonts w:ascii="宋体" w:hAnsi="宋体"/>
          <w:color w:val="000000"/>
          <w:kern w:val="0"/>
          <w:sz w:val="24"/>
        </w:rPr>
      </w:pPr>
      <w:r>
        <w:rPr>
          <w:rFonts w:ascii="宋体" w:hAnsi="宋体"/>
          <w:color w:val="000000"/>
          <w:kern w:val="0"/>
          <w:sz w:val="24"/>
        </w:rPr>
        <w:t>本细则解释权归属公司董事会。</w:t>
      </w:r>
    </w:p>
    <w:p w14:paraId="7AFA985C" w14:textId="77777777" w:rsidR="00895407" w:rsidRDefault="00895407">
      <w:pPr>
        <w:autoSpaceDE w:val="0"/>
        <w:autoSpaceDN w:val="0"/>
        <w:adjustRightInd w:val="0"/>
        <w:snapToGrid w:val="0"/>
        <w:spacing w:line="360" w:lineRule="auto"/>
        <w:ind w:firstLineChars="200" w:firstLine="480"/>
        <w:jc w:val="left"/>
        <w:rPr>
          <w:rFonts w:ascii="宋体" w:hAnsi="宋体"/>
          <w:color w:val="000000"/>
          <w:kern w:val="0"/>
          <w:sz w:val="24"/>
        </w:rPr>
      </w:pPr>
    </w:p>
    <w:p w14:paraId="5C7808D7" w14:textId="77777777" w:rsidR="00895407" w:rsidRDefault="00895407">
      <w:pPr>
        <w:autoSpaceDE w:val="0"/>
        <w:autoSpaceDN w:val="0"/>
        <w:adjustRightInd w:val="0"/>
        <w:snapToGrid w:val="0"/>
        <w:spacing w:line="360" w:lineRule="auto"/>
        <w:ind w:firstLineChars="200" w:firstLine="480"/>
        <w:jc w:val="left"/>
        <w:rPr>
          <w:rFonts w:ascii="宋体" w:hAnsi="宋体"/>
          <w:color w:val="000000"/>
          <w:kern w:val="0"/>
          <w:sz w:val="24"/>
        </w:rPr>
      </w:pPr>
    </w:p>
    <w:p w14:paraId="30AB7113" w14:textId="77777777" w:rsidR="00895407" w:rsidRDefault="00591744">
      <w:pPr>
        <w:autoSpaceDE w:val="0"/>
        <w:autoSpaceDN w:val="0"/>
        <w:adjustRightInd w:val="0"/>
        <w:snapToGrid w:val="0"/>
        <w:spacing w:line="360" w:lineRule="auto"/>
        <w:ind w:firstLineChars="200" w:firstLine="480"/>
        <w:jc w:val="right"/>
        <w:rPr>
          <w:rFonts w:ascii="宋体" w:hAnsi="宋体"/>
          <w:color w:val="000000"/>
          <w:kern w:val="0"/>
          <w:sz w:val="24"/>
        </w:rPr>
      </w:pPr>
      <w:r>
        <w:rPr>
          <w:rFonts w:ascii="宋体" w:hAnsi="宋体" w:hint="eastAsia"/>
          <w:color w:val="000000"/>
          <w:kern w:val="0"/>
          <w:sz w:val="24"/>
        </w:rPr>
        <w:t>江苏中利集团</w:t>
      </w:r>
      <w:r>
        <w:rPr>
          <w:rFonts w:ascii="宋体" w:hAnsi="宋体"/>
          <w:color w:val="000000"/>
          <w:kern w:val="0"/>
          <w:sz w:val="24"/>
        </w:rPr>
        <w:t>股份有限公司</w:t>
      </w:r>
    </w:p>
    <w:p w14:paraId="2C90E3B1" w14:textId="77777777" w:rsidR="00895407" w:rsidRDefault="00895407">
      <w:pPr>
        <w:autoSpaceDE w:val="0"/>
        <w:autoSpaceDN w:val="0"/>
        <w:adjustRightInd w:val="0"/>
        <w:snapToGrid w:val="0"/>
        <w:spacing w:line="360" w:lineRule="auto"/>
        <w:ind w:firstLineChars="200" w:firstLine="480"/>
        <w:jc w:val="right"/>
        <w:rPr>
          <w:rFonts w:ascii="宋体" w:hAnsi="宋体"/>
          <w:color w:val="000000"/>
          <w:kern w:val="0"/>
          <w:sz w:val="24"/>
        </w:rPr>
      </w:pPr>
    </w:p>
    <w:p w14:paraId="1A02B881" w14:textId="7438F11E" w:rsidR="00895407" w:rsidRDefault="00591744">
      <w:pPr>
        <w:wordWrap w:val="0"/>
        <w:autoSpaceDE w:val="0"/>
        <w:autoSpaceDN w:val="0"/>
        <w:adjustRightInd w:val="0"/>
        <w:snapToGrid w:val="0"/>
        <w:spacing w:line="360" w:lineRule="auto"/>
        <w:ind w:firstLineChars="200" w:firstLine="480"/>
        <w:jc w:val="right"/>
      </w:pPr>
      <w:r>
        <w:rPr>
          <w:rFonts w:ascii="宋体" w:hAnsi="宋体" w:hint="eastAsia"/>
          <w:color w:val="000000"/>
          <w:kern w:val="0"/>
          <w:sz w:val="24"/>
        </w:rPr>
        <w:t>2025</w:t>
      </w:r>
      <w:r w:rsidR="00810E8F">
        <w:rPr>
          <w:rFonts w:ascii="宋体" w:hAnsi="宋体" w:hint="eastAsia"/>
          <w:color w:val="000000"/>
          <w:kern w:val="0"/>
          <w:sz w:val="24"/>
        </w:rPr>
        <w:t>年2月6</w:t>
      </w:r>
      <w:bookmarkStart w:id="5" w:name="_GoBack"/>
      <w:bookmarkEnd w:id="5"/>
      <w:r>
        <w:rPr>
          <w:rFonts w:ascii="宋体" w:hAnsi="宋体" w:hint="eastAsia"/>
          <w:color w:val="000000"/>
          <w:kern w:val="0"/>
          <w:sz w:val="24"/>
        </w:rPr>
        <w:t>日</w:t>
      </w:r>
    </w:p>
    <w:sectPr w:rsidR="008954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A5D71" w14:textId="77777777" w:rsidR="00C65E22" w:rsidRDefault="00C65E22" w:rsidP="00500B6B">
      <w:r>
        <w:separator/>
      </w:r>
    </w:p>
  </w:endnote>
  <w:endnote w:type="continuationSeparator" w:id="0">
    <w:p w14:paraId="13E1E6B7" w14:textId="77777777" w:rsidR="00C65E22" w:rsidRDefault="00C65E22" w:rsidP="0050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8F06C" w14:textId="77777777" w:rsidR="00C65E22" w:rsidRDefault="00C65E22" w:rsidP="00500B6B">
      <w:r>
        <w:separator/>
      </w:r>
    </w:p>
  </w:footnote>
  <w:footnote w:type="continuationSeparator" w:id="0">
    <w:p w14:paraId="0AB18C5E" w14:textId="77777777" w:rsidR="00C65E22" w:rsidRDefault="00C65E22" w:rsidP="0050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10BF"/>
    <w:multiLevelType w:val="multilevel"/>
    <w:tmpl w:val="268C10BF"/>
    <w:lvl w:ilvl="0">
      <w:start w:val="1"/>
      <w:numFmt w:val="chineseCountingThousand"/>
      <w:lvlText w:val="第%1章"/>
      <w:lvlJc w:val="left"/>
      <w:pPr>
        <w:tabs>
          <w:tab w:val="left" w:pos="420"/>
        </w:tabs>
        <w:ind w:left="420" w:hanging="420"/>
      </w:pPr>
      <w:rPr>
        <w:rFonts w:ascii="宋体" w:eastAsia="宋体" w:hAnsi="宋体" w:hint="eastAsia"/>
        <w:b/>
        <w:bC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32483413"/>
    <w:multiLevelType w:val="multilevel"/>
    <w:tmpl w:val="32483413"/>
    <w:lvl w:ilvl="0">
      <w:start w:val="1"/>
      <w:numFmt w:val="chineseCountingThousand"/>
      <w:lvlText w:val="第%1条"/>
      <w:lvlJc w:val="left"/>
      <w:pPr>
        <w:tabs>
          <w:tab w:val="left" w:pos="1350"/>
        </w:tabs>
        <w:ind w:left="-600" w:firstLine="600"/>
      </w:pPr>
      <w:rPr>
        <w:rFonts w:hint="default"/>
      </w:rPr>
    </w:lvl>
    <w:lvl w:ilvl="1">
      <w:start w:val="1"/>
      <w:numFmt w:val="chineseCountingThousand"/>
      <w:lvlText w:val="第%2条"/>
      <w:lvlJc w:val="left"/>
      <w:pPr>
        <w:tabs>
          <w:tab w:val="left" w:pos="1350"/>
        </w:tabs>
        <w:ind w:left="-600" w:firstLine="600"/>
      </w:pPr>
      <w:rPr>
        <w:rFonts w:hint="default"/>
        <w:b/>
      </w:rPr>
    </w:lvl>
    <w:lvl w:ilvl="2">
      <w:start w:val="1"/>
      <w:numFmt w:val="chineseCountingThousand"/>
      <w:lvlText w:val="（%3）"/>
      <w:lvlJc w:val="left"/>
      <w:pPr>
        <w:tabs>
          <w:tab w:val="left" w:pos="360"/>
        </w:tabs>
        <w:ind w:left="-480" w:firstLine="480"/>
      </w:pPr>
      <w:rPr>
        <w:rFonts w:hint="default"/>
      </w:rPr>
    </w:lvl>
    <w:lvl w:ilvl="3">
      <w:start w:val="1"/>
      <w:numFmt w:val="japaneseCounting"/>
      <w:lvlText w:val="（%4）"/>
      <w:lvlJc w:val="left"/>
      <w:pPr>
        <w:tabs>
          <w:tab w:val="left" w:pos="1575"/>
        </w:tabs>
        <w:ind w:left="1575" w:hanging="1155"/>
      </w:pPr>
      <w:rPr>
        <w:rFonts w:hint="default"/>
      </w:r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YzJiYWY0MDA3NmRkMjNlMGMxNzE5ZWQ4MDBkNTcifQ=="/>
  </w:docVars>
  <w:rsids>
    <w:rsidRoot w:val="007A5B03"/>
    <w:rsid w:val="000A641F"/>
    <w:rsid w:val="000B23C1"/>
    <w:rsid w:val="0016692E"/>
    <w:rsid w:val="00265720"/>
    <w:rsid w:val="002A2FED"/>
    <w:rsid w:val="002F3FDF"/>
    <w:rsid w:val="0032665A"/>
    <w:rsid w:val="004A57BE"/>
    <w:rsid w:val="00500B6B"/>
    <w:rsid w:val="00591744"/>
    <w:rsid w:val="00621903"/>
    <w:rsid w:val="0073323F"/>
    <w:rsid w:val="00745E15"/>
    <w:rsid w:val="007A5B03"/>
    <w:rsid w:val="007A751C"/>
    <w:rsid w:val="007D1692"/>
    <w:rsid w:val="00807421"/>
    <w:rsid w:val="00810E8F"/>
    <w:rsid w:val="00895407"/>
    <w:rsid w:val="008C6775"/>
    <w:rsid w:val="008E0170"/>
    <w:rsid w:val="008E1042"/>
    <w:rsid w:val="00A67436"/>
    <w:rsid w:val="00A96624"/>
    <w:rsid w:val="00BE022E"/>
    <w:rsid w:val="00BE07D5"/>
    <w:rsid w:val="00BE1176"/>
    <w:rsid w:val="00BF76F0"/>
    <w:rsid w:val="00C65E22"/>
    <w:rsid w:val="00D274D9"/>
    <w:rsid w:val="00D3763D"/>
    <w:rsid w:val="00D73C09"/>
    <w:rsid w:val="00E15DAF"/>
    <w:rsid w:val="00EA4314"/>
    <w:rsid w:val="00ED69E2"/>
    <w:rsid w:val="00EF4A17"/>
    <w:rsid w:val="00F01871"/>
    <w:rsid w:val="00F25950"/>
    <w:rsid w:val="00F3536A"/>
    <w:rsid w:val="00F850DC"/>
    <w:rsid w:val="011B75B4"/>
    <w:rsid w:val="16067D53"/>
    <w:rsid w:val="216108B7"/>
    <w:rsid w:val="27364EB7"/>
    <w:rsid w:val="28AB45AD"/>
    <w:rsid w:val="38CC44C8"/>
    <w:rsid w:val="4CA57541"/>
    <w:rsid w:val="59756351"/>
    <w:rsid w:val="5C541A56"/>
    <w:rsid w:val="600F019D"/>
    <w:rsid w:val="6AE51D35"/>
    <w:rsid w:val="701B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EF0EA"/>
  <w15:docId w15:val="{30F74F9A-BADA-433C-B09E-C6AD680D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uiPriority w:val="1"/>
    <w:qFormat/>
    <w:pPr>
      <w:ind w:left="120"/>
    </w:pPr>
    <w:rPr>
      <w:sz w:val="24"/>
      <w:szCs w:val="24"/>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uiPriority w:val="99"/>
    <w:semiHidden/>
    <w:unhideWhenUsed/>
    <w:qFormat/>
    <w:rPr>
      <w:b/>
      <w:bCs/>
    </w:rPr>
  </w:style>
  <w:style w:type="character" w:styleId="ae">
    <w:name w:val="annotation reference"/>
    <w:basedOn w:val="a0"/>
    <w:autoRedefine/>
    <w:uiPriority w:val="99"/>
    <w:semiHidden/>
    <w:unhideWhenUsed/>
    <w:qFormat/>
    <w:rPr>
      <w:sz w:val="21"/>
      <w:szCs w:val="21"/>
    </w:r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4">
    <w:name w:val="批注文字 字符"/>
    <w:basedOn w:val="a0"/>
    <w:link w:val="a3"/>
    <w:autoRedefine/>
    <w:uiPriority w:val="99"/>
    <w:semiHidden/>
    <w:qFormat/>
    <w:rPr>
      <w:rFonts w:ascii="Times New Roman" w:eastAsia="宋体" w:hAnsi="Times New Roman" w:cs="Times New Roman"/>
      <w:szCs w:val="21"/>
    </w:rPr>
  </w:style>
  <w:style w:type="character" w:customStyle="1" w:styleId="ad">
    <w:name w:val="批注主题 字符"/>
    <w:basedOn w:val="a4"/>
    <w:link w:val="ac"/>
    <w:autoRedefine/>
    <w:uiPriority w:val="99"/>
    <w:semiHidden/>
    <w:qFormat/>
    <w:rPr>
      <w:rFonts w:ascii="Times New Roman" w:eastAsia="宋体" w:hAnsi="Times New Roman" w:cs="Times New Roman"/>
      <w:b/>
      <w:bCs/>
      <w:szCs w:val="21"/>
    </w:rPr>
  </w:style>
  <w:style w:type="character" w:customStyle="1" w:styleId="a7">
    <w:name w:val="批注框文本 字符"/>
    <w:basedOn w:val="a0"/>
    <w:link w:val="a6"/>
    <w:autoRedefine/>
    <w:uiPriority w:val="99"/>
    <w:semiHidden/>
    <w:qFormat/>
    <w:rPr>
      <w:rFonts w:ascii="Times New Roman" w:eastAsia="宋体" w:hAnsi="Times New Roman" w:cs="Times New Roman"/>
      <w:sz w:val="18"/>
      <w:szCs w:val="18"/>
    </w:rPr>
  </w:style>
  <w:style w:type="character" w:customStyle="1" w:styleId="ab">
    <w:name w:val="页眉 字符"/>
    <w:basedOn w:val="a0"/>
    <w:link w:val="aa"/>
    <w:autoRedefine/>
    <w:uiPriority w:val="99"/>
    <w:qFormat/>
    <w:rPr>
      <w:rFonts w:ascii="Times New Roman" w:eastAsia="宋体" w:hAnsi="Times New Roman" w:cs="Times New Roman"/>
      <w:kern w:val="2"/>
      <w:sz w:val="18"/>
      <w:szCs w:val="18"/>
    </w:rPr>
  </w:style>
  <w:style w:type="character" w:customStyle="1" w:styleId="a9">
    <w:name w:val="页脚 字符"/>
    <w:basedOn w:val="a0"/>
    <w:link w:val="a8"/>
    <w:autoRedefine/>
    <w:uiPriority w:val="99"/>
    <w:qFormat/>
    <w:rPr>
      <w:rFonts w:ascii="Times New Roman" w:eastAsia="宋体" w:hAnsi="Times New Roman" w:cs="Times New Roman"/>
      <w:kern w:val="2"/>
      <w:sz w:val="18"/>
      <w:szCs w:val="18"/>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宋泽林</cp:lastModifiedBy>
  <cp:revision>23</cp:revision>
  <dcterms:created xsi:type="dcterms:W3CDTF">2020-02-27T01:18:00Z</dcterms:created>
  <dcterms:modified xsi:type="dcterms:W3CDTF">2025-02-06T08:05:00Z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AEEBA2BB9FD8455E9F3FBD748A620F5E_12</vt:lpwstr>
  </property>
  <property fmtid="{D5CDD505-2E9C-101B-9397-08002B2CF9AE}" pid="4" name="KSOTemplateDocerSaveRecord">
    <vt:lpwstr>eyJoZGlkIjoiNDQyYzJiYWY0MDA3NmRkMjNlMGMxNzE5ZWQ4MDBkNTciLCJ1c2VySWQiOiI0MTg0MjU2MDkifQ==</vt:lpwstr>
  </property>
</Properties>
</file>