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D1B" w:rsidRPr="00CD6599" w:rsidRDefault="00365AAE" w:rsidP="00365AAE">
      <w:pPr>
        <w:autoSpaceDE w:val="0"/>
        <w:autoSpaceDN w:val="0"/>
        <w:adjustRightInd w:val="0"/>
        <w:jc w:val="left"/>
        <w:rPr>
          <w:rFonts w:ascii="宋体" w:hAnsi="宋体" w:cs="宋体"/>
          <w:b/>
          <w:kern w:val="0"/>
        </w:rPr>
      </w:pPr>
      <w:bookmarkStart w:id="0" w:name="_GoBack"/>
      <w:bookmarkEnd w:id="0"/>
      <w:r w:rsidRPr="00CD6599">
        <w:rPr>
          <w:rFonts w:ascii="宋体" w:hAnsi="宋体" w:cs="宋体" w:hint="eastAsia"/>
          <w:b/>
          <w:kern w:val="0"/>
        </w:rPr>
        <w:t>证券代码：</w:t>
      </w:r>
      <w:r w:rsidRPr="00CD6599">
        <w:rPr>
          <w:rFonts w:ascii="宋体" w:hAnsi="宋体" w:cs="宋体"/>
          <w:b/>
          <w:kern w:val="0"/>
        </w:rPr>
        <w:t>002309</w:t>
      </w:r>
      <w:r w:rsidRPr="00CD6599">
        <w:rPr>
          <w:rFonts w:ascii="宋体" w:hAnsi="宋体" w:cs="宋体" w:hint="eastAsia"/>
          <w:b/>
          <w:kern w:val="0"/>
        </w:rPr>
        <w:t xml:space="preserve">  </w:t>
      </w:r>
      <w:r w:rsidR="004F27AB" w:rsidRPr="00CD6599">
        <w:rPr>
          <w:rFonts w:ascii="宋体" w:hAnsi="宋体" w:cs="宋体" w:hint="eastAsia"/>
          <w:b/>
          <w:kern w:val="0"/>
        </w:rPr>
        <w:t xml:space="preserve">      </w:t>
      </w:r>
      <w:r w:rsidRPr="00CD6599">
        <w:rPr>
          <w:rFonts w:ascii="宋体" w:hAnsi="宋体" w:cs="宋体" w:hint="eastAsia"/>
          <w:b/>
          <w:kern w:val="0"/>
        </w:rPr>
        <w:t xml:space="preserve">   </w:t>
      </w:r>
      <w:r w:rsidR="004F27AB" w:rsidRPr="00CD6599">
        <w:rPr>
          <w:rFonts w:ascii="宋体" w:hAnsi="宋体" w:cs="宋体" w:hint="eastAsia"/>
          <w:b/>
          <w:kern w:val="0"/>
        </w:rPr>
        <w:t xml:space="preserve"> </w:t>
      </w:r>
      <w:r w:rsidRPr="00CD6599">
        <w:rPr>
          <w:rFonts w:ascii="宋体" w:hAnsi="宋体" w:cs="宋体" w:hint="eastAsia"/>
          <w:b/>
          <w:kern w:val="0"/>
        </w:rPr>
        <w:t xml:space="preserve"> 证券简称：</w:t>
      </w:r>
      <w:r w:rsidR="001D52E4" w:rsidRPr="00CD6599">
        <w:rPr>
          <w:rFonts w:ascii="宋体" w:hAnsi="宋体" w:cs="宋体" w:hint="eastAsia"/>
          <w:b/>
          <w:kern w:val="0"/>
        </w:rPr>
        <w:t>*</w:t>
      </w:r>
      <w:r w:rsidR="00FC3C77" w:rsidRPr="00CD6599">
        <w:rPr>
          <w:rFonts w:ascii="宋体" w:hAnsi="宋体" w:cs="宋体" w:hint="eastAsia"/>
          <w:b/>
          <w:kern w:val="0"/>
        </w:rPr>
        <w:t>ST</w:t>
      </w:r>
      <w:r w:rsidRPr="00CD6599">
        <w:rPr>
          <w:rFonts w:ascii="宋体" w:hAnsi="宋体" w:cs="宋体" w:hint="eastAsia"/>
          <w:b/>
          <w:kern w:val="0"/>
        </w:rPr>
        <w:t>中利</w:t>
      </w:r>
      <w:r w:rsidRPr="00CD6599">
        <w:rPr>
          <w:rFonts w:ascii="宋体" w:hAnsi="宋体" w:cs="宋体"/>
          <w:b/>
          <w:kern w:val="0"/>
        </w:rPr>
        <w:t xml:space="preserve"> </w:t>
      </w:r>
      <w:r w:rsidRPr="00CD6599">
        <w:rPr>
          <w:rFonts w:ascii="宋体" w:hAnsi="宋体" w:cs="宋体" w:hint="eastAsia"/>
          <w:b/>
          <w:kern w:val="0"/>
        </w:rPr>
        <w:t xml:space="preserve">       </w:t>
      </w:r>
      <w:r w:rsidR="00722D1B" w:rsidRPr="00CD6599">
        <w:rPr>
          <w:rFonts w:ascii="宋体" w:hAnsi="宋体" w:cs="宋体"/>
          <w:b/>
          <w:kern w:val="0"/>
        </w:rPr>
        <w:t xml:space="preserve"> </w:t>
      </w:r>
      <w:r w:rsidR="00791F0C" w:rsidRPr="00CD6599">
        <w:rPr>
          <w:rFonts w:ascii="宋体" w:hAnsi="宋体" w:cs="宋体" w:hint="eastAsia"/>
          <w:b/>
          <w:kern w:val="0"/>
        </w:rPr>
        <w:t xml:space="preserve">   </w:t>
      </w:r>
      <w:r w:rsidRPr="00CD6599">
        <w:rPr>
          <w:rFonts w:ascii="宋体" w:hAnsi="宋体" w:cs="宋体" w:hint="eastAsia"/>
          <w:b/>
          <w:kern w:val="0"/>
        </w:rPr>
        <w:t>公告编号：</w:t>
      </w:r>
      <w:r w:rsidR="007F40E6" w:rsidRPr="00CD6599">
        <w:rPr>
          <w:rFonts w:ascii="宋体" w:hAnsi="宋体" w:cs="宋体" w:hint="eastAsia"/>
          <w:b/>
          <w:kern w:val="0"/>
        </w:rPr>
        <w:t>202</w:t>
      </w:r>
      <w:r w:rsidR="00605818" w:rsidRPr="00CD6599">
        <w:rPr>
          <w:rFonts w:ascii="宋体" w:hAnsi="宋体" w:cs="宋体"/>
          <w:b/>
          <w:kern w:val="0"/>
        </w:rPr>
        <w:t>5</w:t>
      </w:r>
      <w:r w:rsidR="007F40E6" w:rsidRPr="00CD6599">
        <w:rPr>
          <w:rFonts w:ascii="宋体" w:hAnsi="宋体" w:cs="宋体" w:hint="eastAsia"/>
          <w:b/>
          <w:kern w:val="0"/>
        </w:rPr>
        <w:t>-</w:t>
      </w:r>
      <w:r w:rsidR="00790700">
        <w:rPr>
          <w:rFonts w:ascii="宋体" w:hAnsi="宋体" w:cs="宋体"/>
          <w:b/>
          <w:kern w:val="0"/>
        </w:rPr>
        <w:t>019</w:t>
      </w:r>
    </w:p>
    <w:p w:rsidR="006A2333" w:rsidRPr="00CD6599" w:rsidRDefault="006A2333" w:rsidP="00365AAE">
      <w:pPr>
        <w:autoSpaceDE w:val="0"/>
        <w:autoSpaceDN w:val="0"/>
        <w:adjustRightInd w:val="0"/>
        <w:jc w:val="left"/>
        <w:rPr>
          <w:rFonts w:ascii="宋体" w:hAnsi="宋体" w:cs="宋体"/>
          <w:kern w:val="0"/>
          <w:sz w:val="24"/>
        </w:rPr>
      </w:pPr>
    </w:p>
    <w:p w:rsidR="00563CB0" w:rsidRPr="00CD6599" w:rsidRDefault="00365AAE" w:rsidP="00FE7E62">
      <w:pPr>
        <w:jc w:val="center"/>
        <w:outlineLvl w:val="0"/>
        <w:rPr>
          <w:rFonts w:ascii="宋体" w:hAnsi="宋体"/>
          <w:b/>
          <w:sz w:val="32"/>
          <w:szCs w:val="32"/>
        </w:rPr>
      </w:pPr>
      <w:r w:rsidRPr="00CD6599">
        <w:rPr>
          <w:rFonts w:ascii="宋体" w:hAnsi="宋体" w:hint="eastAsia"/>
          <w:b/>
          <w:sz w:val="32"/>
          <w:szCs w:val="32"/>
        </w:rPr>
        <w:t>江苏中利集团股份有限公司</w:t>
      </w:r>
    </w:p>
    <w:p w:rsidR="00365AAE" w:rsidRPr="00CD6599" w:rsidRDefault="004F27AB" w:rsidP="00FE7E62">
      <w:pPr>
        <w:jc w:val="center"/>
        <w:outlineLvl w:val="0"/>
        <w:rPr>
          <w:rFonts w:ascii="宋体" w:hAnsi="宋体"/>
          <w:b/>
          <w:sz w:val="32"/>
          <w:szCs w:val="32"/>
        </w:rPr>
      </w:pPr>
      <w:r w:rsidRPr="00CD6599">
        <w:rPr>
          <w:rFonts w:ascii="宋体" w:hAnsi="宋体" w:hint="eastAsia"/>
          <w:b/>
          <w:sz w:val="32"/>
          <w:szCs w:val="32"/>
        </w:rPr>
        <w:t>202</w:t>
      </w:r>
      <w:r w:rsidR="001D52E4" w:rsidRPr="00CD6599">
        <w:rPr>
          <w:rFonts w:ascii="宋体" w:hAnsi="宋体"/>
          <w:b/>
          <w:sz w:val="32"/>
          <w:szCs w:val="32"/>
        </w:rPr>
        <w:t>4</w:t>
      </w:r>
      <w:r w:rsidRPr="00CD6599">
        <w:rPr>
          <w:rFonts w:ascii="宋体" w:hAnsi="宋体" w:hint="eastAsia"/>
          <w:b/>
          <w:sz w:val="32"/>
          <w:szCs w:val="32"/>
        </w:rPr>
        <w:t>年度业绩预告</w:t>
      </w:r>
    </w:p>
    <w:p w:rsidR="00722D1B" w:rsidRPr="005D5267" w:rsidRDefault="00722D1B" w:rsidP="009F7C3E">
      <w:pPr>
        <w:spacing w:line="360" w:lineRule="auto"/>
        <w:ind w:firstLineChars="200" w:firstLine="482"/>
        <w:rPr>
          <w:rFonts w:ascii="宋体" w:hAnsi="宋体"/>
          <w:b/>
          <w:sz w:val="24"/>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722D1B" w:rsidRPr="0020589D" w:rsidTr="00CD6599">
        <w:tc>
          <w:tcPr>
            <w:tcW w:w="8522" w:type="dxa"/>
            <w:shd w:val="clear" w:color="auto" w:fill="auto"/>
          </w:tcPr>
          <w:p w:rsidR="00722D1B" w:rsidRPr="00CD6599" w:rsidRDefault="00722D1B" w:rsidP="00CD6599">
            <w:pPr>
              <w:spacing w:line="360" w:lineRule="auto"/>
              <w:ind w:firstLineChars="200" w:firstLine="482"/>
              <w:rPr>
                <w:rFonts w:ascii="宋体" w:hAnsi="宋体"/>
                <w:b/>
                <w:kern w:val="0"/>
                <w:sz w:val="24"/>
                <w:szCs w:val="28"/>
              </w:rPr>
            </w:pPr>
            <w:r w:rsidRPr="00CD6599">
              <w:rPr>
                <w:rFonts w:ascii="宋体" w:hAnsi="宋体" w:hint="eastAsia"/>
                <w:b/>
                <w:kern w:val="0"/>
                <w:sz w:val="24"/>
                <w:szCs w:val="28"/>
              </w:rPr>
              <w:t>本公司及董事会全体成员保证信息披露的内容真实、准确、完整，没有虚假记载、误导性陈述或重大遗漏。</w:t>
            </w:r>
          </w:p>
        </w:tc>
      </w:tr>
    </w:tbl>
    <w:p w:rsidR="004F27AB" w:rsidRPr="00CD6599" w:rsidRDefault="004F27AB" w:rsidP="004F27AB">
      <w:pPr>
        <w:tabs>
          <w:tab w:val="left" w:pos="3240"/>
        </w:tabs>
        <w:spacing w:before="240" w:after="240" w:line="360" w:lineRule="auto"/>
        <w:ind w:firstLineChars="200" w:firstLine="482"/>
        <w:rPr>
          <w:rFonts w:ascii="宋体" w:hAnsi="宋体"/>
          <w:b/>
          <w:sz w:val="24"/>
        </w:rPr>
      </w:pPr>
      <w:r w:rsidRPr="00CD6599">
        <w:rPr>
          <w:rFonts w:ascii="宋体" w:hAnsi="宋体" w:hint="eastAsia"/>
          <w:b/>
          <w:sz w:val="24"/>
        </w:rPr>
        <w:t>一、本期业绩预计情况</w:t>
      </w:r>
    </w:p>
    <w:p w:rsidR="004F27AB" w:rsidRPr="00CD6599" w:rsidRDefault="00A9200B" w:rsidP="004F27AB">
      <w:pPr>
        <w:tabs>
          <w:tab w:val="left" w:pos="3240"/>
        </w:tabs>
        <w:spacing w:line="360" w:lineRule="auto"/>
        <w:ind w:firstLineChars="200" w:firstLine="480"/>
        <w:rPr>
          <w:rFonts w:ascii="宋体" w:hAnsi="宋体"/>
          <w:sz w:val="24"/>
        </w:rPr>
      </w:pPr>
      <w:r w:rsidRPr="00CD6599">
        <w:rPr>
          <w:rFonts w:ascii="宋体" w:hAnsi="宋体" w:hint="eastAsia"/>
          <w:sz w:val="24"/>
        </w:rPr>
        <w:t>1、</w:t>
      </w:r>
      <w:r w:rsidR="004F27AB" w:rsidRPr="00CD6599">
        <w:rPr>
          <w:rFonts w:ascii="宋体" w:hAnsi="宋体" w:hint="eastAsia"/>
          <w:sz w:val="24"/>
        </w:rPr>
        <w:t>业绩预告期间</w:t>
      </w:r>
      <w:r w:rsidRPr="00CD6599">
        <w:rPr>
          <w:rFonts w:ascii="宋体" w:hAnsi="宋体" w:hint="eastAsia"/>
          <w:sz w:val="24"/>
        </w:rPr>
        <w:t>：</w:t>
      </w:r>
      <w:r w:rsidR="004F27AB" w:rsidRPr="00CD6599">
        <w:rPr>
          <w:rFonts w:ascii="宋体" w:hAnsi="宋体" w:hint="eastAsia"/>
          <w:sz w:val="24"/>
        </w:rPr>
        <w:t>202</w:t>
      </w:r>
      <w:r w:rsidR="001D52E4" w:rsidRPr="00CD6599">
        <w:rPr>
          <w:rFonts w:ascii="宋体" w:hAnsi="宋体"/>
          <w:sz w:val="24"/>
        </w:rPr>
        <w:t>4</w:t>
      </w:r>
      <w:r w:rsidR="004F27AB" w:rsidRPr="00CD6599">
        <w:rPr>
          <w:rFonts w:ascii="宋体" w:hAnsi="宋体" w:hint="eastAsia"/>
          <w:sz w:val="24"/>
        </w:rPr>
        <w:t>年1月1日至</w:t>
      </w:r>
      <w:r w:rsidR="00C0550D" w:rsidRPr="00CD6599">
        <w:rPr>
          <w:rFonts w:ascii="宋体" w:hAnsi="宋体" w:hint="eastAsia"/>
          <w:sz w:val="24"/>
        </w:rPr>
        <w:t>202</w:t>
      </w:r>
      <w:r w:rsidR="001D52E4" w:rsidRPr="00CD6599">
        <w:rPr>
          <w:rFonts w:ascii="宋体" w:hAnsi="宋体"/>
          <w:sz w:val="24"/>
        </w:rPr>
        <w:t>4</w:t>
      </w:r>
      <w:r w:rsidR="004F27AB" w:rsidRPr="00CD6599">
        <w:rPr>
          <w:rFonts w:ascii="宋体" w:hAnsi="宋体" w:hint="eastAsia"/>
          <w:sz w:val="24"/>
        </w:rPr>
        <w:t>年</w:t>
      </w:r>
      <w:r w:rsidR="00605818" w:rsidRPr="00CD6599">
        <w:rPr>
          <w:rFonts w:ascii="宋体" w:hAnsi="宋体"/>
          <w:sz w:val="24"/>
        </w:rPr>
        <w:t>12</w:t>
      </w:r>
      <w:r w:rsidR="004F27AB" w:rsidRPr="00CD6599">
        <w:rPr>
          <w:rFonts w:ascii="宋体" w:hAnsi="宋体" w:hint="eastAsia"/>
          <w:sz w:val="24"/>
        </w:rPr>
        <w:t>月</w:t>
      </w:r>
      <w:r w:rsidR="00C0550D" w:rsidRPr="00CD6599">
        <w:rPr>
          <w:rFonts w:ascii="宋体" w:hAnsi="宋体" w:hint="eastAsia"/>
          <w:sz w:val="24"/>
        </w:rPr>
        <w:t>3</w:t>
      </w:r>
      <w:r w:rsidR="00147987" w:rsidRPr="00CD6599">
        <w:rPr>
          <w:rFonts w:ascii="宋体" w:hAnsi="宋体"/>
          <w:sz w:val="24"/>
        </w:rPr>
        <w:t>1</w:t>
      </w:r>
      <w:r w:rsidR="004F27AB" w:rsidRPr="00CD6599">
        <w:rPr>
          <w:rFonts w:ascii="宋体" w:hAnsi="宋体" w:hint="eastAsia"/>
          <w:sz w:val="24"/>
        </w:rPr>
        <w:t>日</w:t>
      </w:r>
    </w:p>
    <w:p w:rsidR="000969F6" w:rsidRPr="00CD6599" w:rsidRDefault="00A9200B" w:rsidP="00306A1F">
      <w:pPr>
        <w:tabs>
          <w:tab w:val="left" w:pos="3240"/>
        </w:tabs>
        <w:spacing w:line="360" w:lineRule="auto"/>
        <w:ind w:firstLineChars="200" w:firstLine="480"/>
        <w:rPr>
          <w:rFonts w:ascii="宋体" w:hAnsi="宋体" w:cs="宋体"/>
          <w:sz w:val="24"/>
        </w:rPr>
      </w:pPr>
      <w:r w:rsidRPr="00CD6599">
        <w:rPr>
          <w:rFonts w:ascii="宋体" w:hAnsi="宋体" w:hint="eastAsia"/>
          <w:sz w:val="24"/>
        </w:rPr>
        <w:t>2、</w:t>
      </w:r>
      <w:r w:rsidR="004F27AB" w:rsidRPr="00CD6599">
        <w:rPr>
          <w:rFonts w:ascii="宋体" w:hAnsi="宋体" w:hint="eastAsia"/>
          <w:sz w:val="24"/>
        </w:rPr>
        <w:t>业绩预告情况</w:t>
      </w:r>
      <w:r w:rsidR="00634F37">
        <w:rPr>
          <w:rFonts w:ascii="宋体" w:hAnsi="宋体" w:hint="eastAsia"/>
          <w:sz w:val="24"/>
        </w:rPr>
        <w:t>：亏损</w:t>
      </w:r>
    </w:p>
    <w:tbl>
      <w:tblPr>
        <w:tblW w:w="54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4305"/>
        <w:gridCol w:w="2824"/>
      </w:tblGrid>
      <w:tr w:rsidR="004F27AB" w:rsidRPr="00D25C49" w:rsidTr="00852CB3">
        <w:trPr>
          <w:trHeight w:val="360"/>
          <w:jc w:val="center"/>
        </w:trPr>
        <w:tc>
          <w:tcPr>
            <w:tcW w:w="1077" w:type="pct"/>
            <w:tcBorders>
              <w:top w:val="single" w:sz="4" w:space="0" w:color="auto"/>
              <w:left w:val="single" w:sz="4" w:space="0" w:color="auto"/>
              <w:bottom w:val="single" w:sz="4" w:space="0" w:color="auto"/>
              <w:right w:val="single" w:sz="4" w:space="0" w:color="auto"/>
            </w:tcBorders>
            <w:vAlign w:val="center"/>
          </w:tcPr>
          <w:p w:rsidR="004F27AB" w:rsidRPr="00D25C49" w:rsidRDefault="004F27AB" w:rsidP="00D25C49">
            <w:pPr>
              <w:widowControl/>
              <w:spacing w:line="360" w:lineRule="auto"/>
              <w:jc w:val="center"/>
              <w:rPr>
                <w:rFonts w:ascii="宋体" w:hAnsi="宋体"/>
                <w:b/>
                <w:kern w:val="0"/>
                <w:sz w:val="24"/>
              </w:rPr>
            </w:pPr>
            <w:bookmarkStart w:id="1" w:name="OLE_LINK14"/>
            <w:r w:rsidRPr="00D25C49">
              <w:rPr>
                <w:rFonts w:ascii="宋体" w:hAnsi="宋体" w:hint="eastAsia"/>
                <w:b/>
                <w:kern w:val="0"/>
                <w:sz w:val="24"/>
              </w:rPr>
              <w:t>项</w:t>
            </w:r>
            <w:r w:rsidRPr="00D25C49">
              <w:rPr>
                <w:rFonts w:ascii="宋体" w:hAnsi="宋体"/>
                <w:b/>
                <w:kern w:val="0"/>
                <w:sz w:val="24"/>
              </w:rPr>
              <w:t xml:space="preserve">  </w:t>
            </w:r>
            <w:r w:rsidRPr="00D25C49">
              <w:rPr>
                <w:rFonts w:ascii="宋体" w:hAnsi="宋体" w:hint="eastAsia"/>
                <w:b/>
                <w:kern w:val="0"/>
                <w:sz w:val="24"/>
              </w:rPr>
              <w:t>目</w:t>
            </w:r>
          </w:p>
        </w:tc>
        <w:tc>
          <w:tcPr>
            <w:tcW w:w="2369" w:type="pct"/>
            <w:tcBorders>
              <w:top w:val="single" w:sz="4" w:space="0" w:color="auto"/>
              <w:left w:val="single" w:sz="4" w:space="0" w:color="auto"/>
              <w:bottom w:val="single" w:sz="4" w:space="0" w:color="auto"/>
              <w:right w:val="single" w:sz="4" w:space="0" w:color="auto"/>
            </w:tcBorders>
            <w:vAlign w:val="center"/>
          </w:tcPr>
          <w:p w:rsidR="004F27AB" w:rsidRPr="00D25C49" w:rsidRDefault="00A13C20" w:rsidP="00D25C49">
            <w:pPr>
              <w:widowControl/>
              <w:spacing w:line="360" w:lineRule="auto"/>
              <w:jc w:val="center"/>
              <w:rPr>
                <w:rFonts w:ascii="宋体" w:hAnsi="宋体"/>
                <w:b/>
                <w:kern w:val="0"/>
                <w:sz w:val="24"/>
              </w:rPr>
            </w:pPr>
            <w:r w:rsidRPr="00D25C49">
              <w:rPr>
                <w:rFonts w:ascii="宋体" w:hAnsi="宋体"/>
                <w:b/>
                <w:spacing w:val="-2"/>
                <w:sz w:val="24"/>
              </w:rPr>
              <w:t>本会计年度</w:t>
            </w:r>
          </w:p>
        </w:tc>
        <w:tc>
          <w:tcPr>
            <w:tcW w:w="1555" w:type="pct"/>
            <w:tcBorders>
              <w:top w:val="single" w:sz="4" w:space="0" w:color="auto"/>
              <w:left w:val="single" w:sz="4" w:space="0" w:color="auto"/>
              <w:bottom w:val="single" w:sz="4" w:space="0" w:color="auto"/>
              <w:right w:val="single" w:sz="4" w:space="0" w:color="auto"/>
            </w:tcBorders>
            <w:vAlign w:val="center"/>
          </w:tcPr>
          <w:p w:rsidR="004F27AB" w:rsidRPr="00D25C49" w:rsidRDefault="004F27AB" w:rsidP="00D25C49">
            <w:pPr>
              <w:widowControl/>
              <w:spacing w:line="360" w:lineRule="auto"/>
              <w:jc w:val="center"/>
              <w:rPr>
                <w:rFonts w:ascii="宋体" w:hAnsi="宋体"/>
                <w:b/>
                <w:kern w:val="0"/>
                <w:sz w:val="24"/>
              </w:rPr>
            </w:pPr>
            <w:r w:rsidRPr="00D25C49">
              <w:rPr>
                <w:rFonts w:ascii="宋体" w:hAnsi="宋体" w:hint="eastAsia"/>
                <w:b/>
                <w:kern w:val="0"/>
                <w:sz w:val="24"/>
              </w:rPr>
              <w:t>上年同期</w:t>
            </w:r>
          </w:p>
        </w:tc>
      </w:tr>
      <w:tr w:rsidR="008D42ED" w:rsidRPr="00D25C49" w:rsidTr="00852CB3">
        <w:trPr>
          <w:trHeight w:val="550"/>
          <w:jc w:val="center"/>
        </w:trPr>
        <w:tc>
          <w:tcPr>
            <w:tcW w:w="1077" w:type="pct"/>
            <w:tcBorders>
              <w:top w:val="single" w:sz="4" w:space="0" w:color="auto"/>
              <w:left w:val="single" w:sz="4" w:space="0" w:color="auto"/>
              <w:right w:val="single" w:sz="4" w:space="0" w:color="auto"/>
            </w:tcBorders>
            <w:vAlign w:val="center"/>
          </w:tcPr>
          <w:p w:rsidR="008D42ED" w:rsidRPr="00D25C49" w:rsidRDefault="008D42ED" w:rsidP="00D25C49">
            <w:pPr>
              <w:widowControl/>
              <w:spacing w:line="360" w:lineRule="auto"/>
              <w:jc w:val="left"/>
              <w:rPr>
                <w:rFonts w:ascii="宋体" w:hAnsi="宋体"/>
                <w:kern w:val="0"/>
                <w:sz w:val="24"/>
              </w:rPr>
            </w:pPr>
            <w:r w:rsidRPr="00D25C49">
              <w:rPr>
                <w:rFonts w:ascii="宋体" w:hAnsi="宋体" w:hint="eastAsia"/>
                <w:kern w:val="0"/>
                <w:sz w:val="24"/>
              </w:rPr>
              <w:t>归属于上市公司股东的净利润</w:t>
            </w:r>
          </w:p>
        </w:tc>
        <w:tc>
          <w:tcPr>
            <w:tcW w:w="2369" w:type="pct"/>
            <w:tcBorders>
              <w:top w:val="single" w:sz="4" w:space="0" w:color="auto"/>
              <w:left w:val="single" w:sz="4" w:space="0" w:color="auto"/>
              <w:bottom w:val="single" w:sz="4" w:space="0" w:color="auto"/>
              <w:right w:val="single" w:sz="4" w:space="0" w:color="auto"/>
            </w:tcBorders>
            <w:vAlign w:val="center"/>
          </w:tcPr>
          <w:p w:rsidR="008D42ED" w:rsidRPr="00D25C49" w:rsidRDefault="00A219B2" w:rsidP="005610B8">
            <w:pPr>
              <w:widowControl/>
              <w:spacing w:line="360" w:lineRule="auto"/>
              <w:jc w:val="center"/>
              <w:rPr>
                <w:rFonts w:ascii="宋体" w:hAnsi="宋体"/>
                <w:kern w:val="0"/>
                <w:sz w:val="24"/>
              </w:rPr>
            </w:pPr>
            <w:r w:rsidRPr="00D25C49">
              <w:rPr>
                <w:rFonts w:ascii="宋体" w:hAnsi="宋体" w:cs="宋体" w:hint="eastAsia"/>
                <w:color w:val="000000"/>
                <w:sz w:val="24"/>
                <w:lang w:bidi="ar"/>
              </w:rPr>
              <w:t>亏损</w:t>
            </w:r>
            <w:r w:rsidR="00F90F6F" w:rsidRPr="00D25C49">
              <w:rPr>
                <w:rFonts w:ascii="宋体" w:hAnsi="宋体" w:cs="宋体" w:hint="eastAsia"/>
                <w:color w:val="000000"/>
                <w:sz w:val="24"/>
                <w:lang w:bidi="ar"/>
              </w:rPr>
              <w:t>：</w:t>
            </w:r>
            <w:r w:rsidR="00CB013F" w:rsidRPr="00D25C49">
              <w:rPr>
                <w:rFonts w:ascii="宋体" w:hAnsi="宋体" w:cs="宋体" w:hint="eastAsia"/>
                <w:color w:val="000000"/>
                <w:sz w:val="24"/>
                <w:lang w:bidi="ar"/>
              </w:rPr>
              <w:t>9</w:t>
            </w:r>
            <w:r w:rsidR="00852CB3">
              <w:rPr>
                <w:rFonts w:ascii="宋体" w:hAnsi="宋体" w:cs="宋体"/>
                <w:color w:val="000000"/>
                <w:sz w:val="24"/>
                <w:lang w:bidi="ar"/>
              </w:rPr>
              <w:t>6</w:t>
            </w:r>
            <w:r w:rsidR="00CB013F" w:rsidRPr="00D25C49">
              <w:rPr>
                <w:rFonts w:ascii="宋体" w:hAnsi="宋体" w:cs="宋体"/>
                <w:color w:val="000000"/>
                <w:sz w:val="24"/>
                <w:lang w:bidi="ar"/>
              </w:rPr>
              <w:t>,</w:t>
            </w:r>
            <w:r w:rsidR="00852CB3">
              <w:rPr>
                <w:rFonts w:ascii="宋体" w:hAnsi="宋体" w:cs="宋体"/>
                <w:color w:val="000000"/>
                <w:sz w:val="24"/>
                <w:lang w:bidi="ar"/>
              </w:rPr>
              <w:t>0</w:t>
            </w:r>
            <w:r w:rsidR="00CB013F" w:rsidRPr="00D25C49">
              <w:rPr>
                <w:rFonts w:ascii="宋体" w:hAnsi="宋体" w:cs="宋体"/>
                <w:color w:val="000000"/>
                <w:sz w:val="24"/>
                <w:lang w:bidi="ar"/>
              </w:rPr>
              <w:t>00</w:t>
            </w:r>
            <w:r w:rsidR="00F90F6F" w:rsidRPr="00D25C49">
              <w:rPr>
                <w:rFonts w:ascii="宋体" w:hAnsi="宋体" w:cs="宋体" w:hint="eastAsia"/>
                <w:color w:val="000000"/>
                <w:sz w:val="24"/>
                <w:lang w:bidi="ar"/>
              </w:rPr>
              <w:t>万元</w:t>
            </w:r>
            <w:r w:rsidR="00852CB3">
              <w:rPr>
                <w:rFonts w:ascii="宋体" w:hAnsi="宋体" w:cs="宋体" w:hint="eastAsia"/>
                <w:color w:val="000000"/>
                <w:sz w:val="24"/>
                <w:lang w:bidi="ar"/>
              </w:rPr>
              <w:t>-</w:t>
            </w:r>
            <w:bookmarkStart w:id="2" w:name="OLE_LINK18"/>
            <w:r w:rsidR="00852CB3" w:rsidRPr="00D25C49">
              <w:rPr>
                <w:rFonts w:ascii="宋体" w:hAnsi="宋体" w:cs="宋体"/>
                <w:color w:val="000000"/>
                <w:sz w:val="24"/>
                <w:lang w:bidi="ar"/>
              </w:rPr>
              <w:t>1</w:t>
            </w:r>
            <w:r w:rsidR="00852CB3">
              <w:rPr>
                <w:rFonts w:ascii="宋体" w:hAnsi="宋体" w:cs="宋体"/>
                <w:color w:val="000000"/>
                <w:sz w:val="24"/>
                <w:lang w:bidi="ar"/>
              </w:rPr>
              <w:t>46</w:t>
            </w:r>
            <w:r w:rsidR="00852CB3">
              <w:rPr>
                <w:rFonts w:ascii="宋体" w:hAnsi="宋体" w:cs="宋体" w:hint="eastAsia"/>
                <w:color w:val="000000"/>
                <w:sz w:val="24"/>
                <w:lang w:bidi="ar"/>
              </w:rPr>
              <w:t>,0</w:t>
            </w:r>
            <w:r w:rsidR="00852CB3" w:rsidRPr="00D25C49">
              <w:rPr>
                <w:rFonts w:ascii="宋体" w:hAnsi="宋体" w:cs="宋体"/>
                <w:color w:val="000000"/>
                <w:sz w:val="24"/>
                <w:lang w:bidi="ar"/>
              </w:rPr>
              <w:t>00</w:t>
            </w:r>
            <w:bookmarkEnd w:id="2"/>
            <w:r w:rsidR="00852CB3" w:rsidRPr="00D25C49">
              <w:rPr>
                <w:rFonts w:ascii="宋体" w:hAnsi="宋体" w:cs="宋体" w:hint="eastAsia"/>
                <w:color w:val="000000"/>
                <w:sz w:val="24"/>
                <w:lang w:bidi="ar"/>
              </w:rPr>
              <w:t>万元</w:t>
            </w:r>
          </w:p>
        </w:tc>
        <w:tc>
          <w:tcPr>
            <w:tcW w:w="1555" w:type="pct"/>
            <w:tcBorders>
              <w:top w:val="single" w:sz="4" w:space="0" w:color="auto"/>
              <w:left w:val="single" w:sz="4" w:space="0" w:color="auto"/>
              <w:right w:val="single" w:sz="4" w:space="0" w:color="auto"/>
            </w:tcBorders>
            <w:vAlign w:val="center"/>
          </w:tcPr>
          <w:p w:rsidR="008D42ED" w:rsidRPr="00D25C49" w:rsidRDefault="008D42ED" w:rsidP="005610B8">
            <w:pPr>
              <w:tabs>
                <w:tab w:val="left" w:pos="3240"/>
              </w:tabs>
              <w:spacing w:line="360" w:lineRule="auto"/>
              <w:jc w:val="center"/>
              <w:rPr>
                <w:rFonts w:ascii="宋体" w:hAnsi="宋体"/>
                <w:sz w:val="24"/>
              </w:rPr>
            </w:pPr>
            <w:r w:rsidRPr="00D25C49">
              <w:rPr>
                <w:rFonts w:ascii="宋体" w:hAnsi="宋体"/>
                <w:sz w:val="24"/>
              </w:rPr>
              <w:t>亏损：</w:t>
            </w:r>
            <w:r w:rsidRPr="00D25C49">
              <w:rPr>
                <w:rFonts w:ascii="宋体" w:hAnsi="宋体" w:hint="eastAsia"/>
                <w:sz w:val="24"/>
              </w:rPr>
              <w:t>1</w:t>
            </w:r>
            <w:r w:rsidRPr="00D25C49">
              <w:rPr>
                <w:rFonts w:ascii="宋体" w:hAnsi="宋体"/>
                <w:sz w:val="24"/>
              </w:rPr>
              <w:t>49,653.32</w:t>
            </w:r>
            <w:r w:rsidRPr="00D25C49">
              <w:rPr>
                <w:rFonts w:ascii="宋体" w:hAnsi="宋体" w:hint="eastAsia"/>
                <w:sz w:val="24"/>
              </w:rPr>
              <w:t>万元</w:t>
            </w:r>
          </w:p>
        </w:tc>
      </w:tr>
      <w:tr w:rsidR="00F90F6F" w:rsidRPr="00D25C49" w:rsidTr="00852CB3">
        <w:trPr>
          <w:trHeight w:val="550"/>
          <w:jc w:val="center"/>
        </w:trPr>
        <w:tc>
          <w:tcPr>
            <w:tcW w:w="1077" w:type="pct"/>
            <w:tcBorders>
              <w:left w:val="single" w:sz="4" w:space="0" w:color="auto"/>
              <w:right w:val="single" w:sz="4" w:space="0" w:color="auto"/>
            </w:tcBorders>
            <w:vAlign w:val="center"/>
          </w:tcPr>
          <w:p w:rsidR="00F90F6F" w:rsidRPr="00D25C49" w:rsidRDefault="00F90F6F" w:rsidP="00D25C49">
            <w:pPr>
              <w:widowControl/>
              <w:spacing w:line="360" w:lineRule="auto"/>
              <w:jc w:val="left"/>
              <w:rPr>
                <w:rFonts w:ascii="宋体" w:hAnsi="宋体"/>
                <w:kern w:val="0"/>
                <w:sz w:val="24"/>
              </w:rPr>
            </w:pPr>
            <w:r w:rsidRPr="00D25C49">
              <w:rPr>
                <w:rFonts w:ascii="宋体" w:hAnsi="宋体" w:hint="eastAsia"/>
                <w:kern w:val="0"/>
                <w:sz w:val="24"/>
              </w:rPr>
              <w:t>扣除非经常性损益后的净利润</w:t>
            </w:r>
          </w:p>
        </w:tc>
        <w:tc>
          <w:tcPr>
            <w:tcW w:w="2369" w:type="pct"/>
            <w:tcBorders>
              <w:top w:val="single" w:sz="4" w:space="0" w:color="auto"/>
              <w:left w:val="single" w:sz="4" w:space="0" w:color="auto"/>
              <w:bottom w:val="single" w:sz="4" w:space="0" w:color="auto"/>
              <w:right w:val="single" w:sz="4" w:space="0" w:color="auto"/>
            </w:tcBorders>
            <w:vAlign w:val="center"/>
          </w:tcPr>
          <w:p w:rsidR="00F90F6F" w:rsidRPr="00D25C49" w:rsidRDefault="00A219B2" w:rsidP="005610B8">
            <w:pPr>
              <w:tabs>
                <w:tab w:val="left" w:pos="3240"/>
              </w:tabs>
              <w:spacing w:line="360" w:lineRule="auto"/>
              <w:jc w:val="center"/>
              <w:rPr>
                <w:rFonts w:ascii="宋体" w:hAnsi="宋体"/>
                <w:sz w:val="24"/>
              </w:rPr>
            </w:pPr>
            <w:r w:rsidRPr="00D25C49">
              <w:rPr>
                <w:rFonts w:ascii="宋体" w:hAnsi="宋体" w:cs="宋体" w:hint="eastAsia"/>
                <w:color w:val="000000"/>
                <w:sz w:val="24"/>
                <w:lang w:bidi="ar"/>
              </w:rPr>
              <w:t>亏损</w:t>
            </w:r>
            <w:r w:rsidR="00F90F6F" w:rsidRPr="00D25C49">
              <w:rPr>
                <w:rFonts w:ascii="宋体" w:hAnsi="宋体" w:cs="宋体" w:hint="eastAsia"/>
                <w:color w:val="000000"/>
                <w:sz w:val="24"/>
                <w:lang w:bidi="ar"/>
              </w:rPr>
              <w:t>：</w:t>
            </w:r>
            <w:r w:rsidR="006C6E61" w:rsidRPr="00D25C49">
              <w:rPr>
                <w:rFonts w:ascii="宋体" w:hAnsi="宋体" w:cs="宋体"/>
                <w:color w:val="000000"/>
                <w:sz w:val="24"/>
                <w:lang w:bidi="ar"/>
              </w:rPr>
              <w:t>1</w:t>
            </w:r>
            <w:r w:rsidR="00852CB3">
              <w:rPr>
                <w:rFonts w:ascii="宋体" w:hAnsi="宋体" w:cs="宋体"/>
                <w:color w:val="000000"/>
                <w:sz w:val="24"/>
                <w:lang w:bidi="ar"/>
              </w:rPr>
              <w:t>84,0</w:t>
            </w:r>
            <w:r w:rsidR="006C6E61" w:rsidRPr="00D25C49">
              <w:rPr>
                <w:rFonts w:ascii="宋体" w:hAnsi="宋体" w:cs="宋体"/>
                <w:color w:val="000000"/>
                <w:sz w:val="24"/>
                <w:lang w:bidi="ar"/>
              </w:rPr>
              <w:t>00</w:t>
            </w:r>
            <w:r w:rsidR="00F90F6F" w:rsidRPr="00D25C49">
              <w:rPr>
                <w:rFonts w:ascii="宋体" w:hAnsi="宋体" w:cs="宋体" w:hint="eastAsia"/>
                <w:color w:val="000000"/>
                <w:sz w:val="24"/>
                <w:lang w:bidi="ar"/>
              </w:rPr>
              <w:t>万元</w:t>
            </w:r>
            <w:r w:rsidR="00852CB3">
              <w:rPr>
                <w:rFonts w:ascii="宋体" w:hAnsi="宋体" w:cs="宋体" w:hint="eastAsia"/>
                <w:color w:val="000000"/>
                <w:sz w:val="24"/>
                <w:lang w:bidi="ar"/>
              </w:rPr>
              <w:t>-</w:t>
            </w:r>
            <w:r w:rsidR="00852CB3" w:rsidRPr="00D25C49">
              <w:rPr>
                <w:rFonts w:ascii="宋体" w:hAnsi="宋体" w:cs="宋体"/>
                <w:color w:val="000000"/>
                <w:sz w:val="24"/>
                <w:lang w:bidi="ar"/>
              </w:rPr>
              <w:t>2</w:t>
            </w:r>
            <w:r w:rsidR="00852CB3">
              <w:rPr>
                <w:rFonts w:ascii="宋体" w:hAnsi="宋体" w:cs="宋体"/>
                <w:color w:val="000000"/>
                <w:sz w:val="24"/>
                <w:lang w:bidi="ar"/>
              </w:rPr>
              <w:t>44,000</w:t>
            </w:r>
            <w:r w:rsidR="00852CB3" w:rsidRPr="00D25C49">
              <w:rPr>
                <w:rFonts w:ascii="宋体" w:hAnsi="宋体" w:cs="宋体" w:hint="eastAsia"/>
                <w:color w:val="000000"/>
                <w:sz w:val="24"/>
                <w:lang w:bidi="ar"/>
              </w:rPr>
              <w:t>万元</w:t>
            </w:r>
          </w:p>
        </w:tc>
        <w:tc>
          <w:tcPr>
            <w:tcW w:w="1555" w:type="pct"/>
            <w:tcBorders>
              <w:top w:val="single" w:sz="4" w:space="0" w:color="auto"/>
              <w:left w:val="single" w:sz="4" w:space="0" w:color="auto"/>
              <w:right w:val="single" w:sz="4" w:space="0" w:color="auto"/>
            </w:tcBorders>
            <w:vAlign w:val="center"/>
          </w:tcPr>
          <w:p w:rsidR="00F90F6F" w:rsidRPr="00D25C49" w:rsidRDefault="00F90F6F" w:rsidP="005610B8">
            <w:pPr>
              <w:tabs>
                <w:tab w:val="left" w:pos="3240"/>
              </w:tabs>
              <w:spacing w:line="360" w:lineRule="auto"/>
              <w:jc w:val="center"/>
              <w:rPr>
                <w:rFonts w:ascii="宋体" w:hAnsi="宋体"/>
                <w:sz w:val="24"/>
              </w:rPr>
            </w:pPr>
            <w:r w:rsidRPr="00D25C49">
              <w:rPr>
                <w:rFonts w:ascii="宋体" w:hAnsi="宋体"/>
                <w:sz w:val="24"/>
              </w:rPr>
              <w:t>亏损：</w:t>
            </w:r>
            <w:r w:rsidRPr="00D25C49">
              <w:rPr>
                <w:rFonts w:ascii="宋体" w:hAnsi="宋体" w:hint="eastAsia"/>
                <w:sz w:val="24"/>
              </w:rPr>
              <w:t>1</w:t>
            </w:r>
            <w:r w:rsidRPr="00D25C49">
              <w:rPr>
                <w:rFonts w:ascii="宋体" w:hAnsi="宋体"/>
                <w:sz w:val="24"/>
              </w:rPr>
              <w:t>30</w:t>
            </w:r>
            <w:r w:rsidRPr="00D25C49">
              <w:rPr>
                <w:rFonts w:ascii="宋体" w:hAnsi="宋体" w:hint="eastAsia"/>
                <w:sz w:val="24"/>
              </w:rPr>
              <w:t>,</w:t>
            </w:r>
            <w:r w:rsidRPr="00D25C49">
              <w:rPr>
                <w:rFonts w:ascii="宋体" w:hAnsi="宋体"/>
                <w:sz w:val="24"/>
              </w:rPr>
              <w:t>280.08</w:t>
            </w:r>
            <w:r w:rsidRPr="00D25C49">
              <w:rPr>
                <w:rFonts w:ascii="宋体" w:hAnsi="宋体" w:hint="eastAsia"/>
                <w:sz w:val="24"/>
              </w:rPr>
              <w:t>万元</w:t>
            </w:r>
          </w:p>
        </w:tc>
      </w:tr>
      <w:tr w:rsidR="008D42ED" w:rsidRPr="00D25C49" w:rsidTr="00852CB3">
        <w:trPr>
          <w:trHeight w:val="550"/>
          <w:jc w:val="center"/>
        </w:trPr>
        <w:tc>
          <w:tcPr>
            <w:tcW w:w="1077" w:type="pct"/>
            <w:tcBorders>
              <w:top w:val="single" w:sz="4" w:space="0" w:color="auto"/>
              <w:left w:val="single" w:sz="4" w:space="0" w:color="auto"/>
              <w:bottom w:val="single" w:sz="4" w:space="0" w:color="auto"/>
              <w:right w:val="single" w:sz="4" w:space="0" w:color="auto"/>
            </w:tcBorders>
            <w:vAlign w:val="center"/>
          </w:tcPr>
          <w:p w:rsidR="008D42ED" w:rsidRPr="00D25C49" w:rsidRDefault="008D42ED" w:rsidP="00D25C49">
            <w:pPr>
              <w:widowControl/>
              <w:spacing w:line="360" w:lineRule="auto"/>
              <w:jc w:val="left"/>
              <w:rPr>
                <w:rFonts w:ascii="宋体" w:hAnsi="宋体"/>
                <w:kern w:val="0"/>
                <w:sz w:val="24"/>
              </w:rPr>
            </w:pPr>
            <w:r w:rsidRPr="00D25C49">
              <w:rPr>
                <w:rFonts w:ascii="宋体" w:hAnsi="宋体" w:hint="eastAsia"/>
                <w:kern w:val="0"/>
                <w:sz w:val="24"/>
              </w:rPr>
              <w:t>基本每股收益</w:t>
            </w:r>
          </w:p>
        </w:tc>
        <w:tc>
          <w:tcPr>
            <w:tcW w:w="2369" w:type="pct"/>
            <w:tcBorders>
              <w:top w:val="single" w:sz="4" w:space="0" w:color="auto"/>
              <w:left w:val="single" w:sz="4" w:space="0" w:color="auto"/>
              <w:bottom w:val="single" w:sz="4" w:space="0" w:color="auto"/>
              <w:right w:val="single" w:sz="4" w:space="0" w:color="auto"/>
            </w:tcBorders>
            <w:vAlign w:val="center"/>
          </w:tcPr>
          <w:p w:rsidR="008D42ED" w:rsidRPr="00D25C49" w:rsidRDefault="00A219B2" w:rsidP="005610B8">
            <w:pPr>
              <w:tabs>
                <w:tab w:val="left" w:pos="3240"/>
              </w:tabs>
              <w:spacing w:line="360" w:lineRule="auto"/>
              <w:jc w:val="center"/>
              <w:rPr>
                <w:rFonts w:ascii="宋体" w:hAnsi="宋体"/>
                <w:sz w:val="24"/>
              </w:rPr>
            </w:pPr>
            <w:r w:rsidRPr="00D25C49">
              <w:rPr>
                <w:rFonts w:ascii="宋体" w:hAnsi="宋体" w:cs="宋体" w:hint="eastAsia"/>
                <w:color w:val="000000"/>
                <w:sz w:val="24"/>
                <w:lang w:bidi="ar"/>
              </w:rPr>
              <w:t>亏损</w:t>
            </w:r>
            <w:r w:rsidR="00F90F6F" w:rsidRPr="00D25C49">
              <w:rPr>
                <w:rFonts w:ascii="宋体" w:hAnsi="宋体" w:cs="宋体" w:hint="eastAsia"/>
                <w:color w:val="000000"/>
                <w:sz w:val="24"/>
                <w:lang w:bidi="ar"/>
              </w:rPr>
              <w:t>：</w:t>
            </w:r>
            <w:r w:rsidR="00CB013F" w:rsidRPr="00D25C49">
              <w:rPr>
                <w:rFonts w:ascii="宋体" w:hAnsi="宋体" w:cs="宋体" w:hint="eastAsia"/>
                <w:color w:val="000000"/>
                <w:sz w:val="24"/>
                <w:lang w:bidi="ar"/>
              </w:rPr>
              <w:t>1.1</w:t>
            </w:r>
            <w:r w:rsidR="00852CB3">
              <w:rPr>
                <w:rFonts w:ascii="宋体" w:hAnsi="宋体" w:cs="宋体"/>
                <w:color w:val="000000"/>
                <w:sz w:val="24"/>
                <w:lang w:bidi="ar"/>
              </w:rPr>
              <w:t>0</w:t>
            </w:r>
            <w:r w:rsidR="00F90F6F" w:rsidRPr="00D25C49">
              <w:rPr>
                <w:rFonts w:ascii="宋体" w:hAnsi="宋体" w:cs="宋体" w:hint="eastAsia"/>
                <w:color w:val="000000"/>
                <w:sz w:val="24"/>
                <w:lang w:bidi="ar"/>
              </w:rPr>
              <w:t>元/股</w:t>
            </w:r>
            <w:r w:rsidR="00852CB3">
              <w:rPr>
                <w:rFonts w:ascii="宋体" w:hAnsi="宋体" w:cs="宋体" w:hint="eastAsia"/>
                <w:color w:val="000000"/>
                <w:sz w:val="24"/>
                <w:lang w:bidi="ar"/>
              </w:rPr>
              <w:t>-</w:t>
            </w:r>
            <w:r w:rsidR="00852CB3" w:rsidRPr="00D25C49">
              <w:rPr>
                <w:rFonts w:ascii="宋体" w:hAnsi="宋体" w:cs="宋体" w:hint="eastAsia"/>
                <w:color w:val="000000"/>
                <w:sz w:val="24"/>
                <w:lang w:bidi="ar"/>
              </w:rPr>
              <w:t>1.</w:t>
            </w:r>
            <w:r w:rsidR="00852CB3">
              <w:rPr>
                <w:rFonts w:ascii="宋体" w:hAnsi="宋体" w:cs="宋体"/>
                <w:color w:val="000000"/>
                <w:sz w:val="24"/>
                <w:lang w:bidi="ar"/>
              </w:rPr>
              <w:t>67</w:t>
            </w:r>
            <w:r w:rsidR="00852CB3" w:rsidRPr="00D25C49">
              <w:rPr>
                <w:rFonts w:ascii="宋体" w:hAnsi="宋体" w:cs="宋体" w:hint="eastAsia"/>
                <w:color w:val="000000"/>
                <w:sz w:val="24"/>
                <w:lang w:bidi="ar"/>
              </w:rPr>
              <w:t>元/股</w:t>
            </w:r>
          </w:p>
        </w:tc>
        <w:tc>
          <w:tcPr>
            <w:tcW w:w="1555" w:type="pct"/>
            <w:tcBorders>
              <w:top w:val="single" w:sz="4" w:space="0" w:color="auto"/>
              <w:left w:val="single" w:sz="4" w:space="0" w:color="auto"/>
              <w:bottom w:val="single" w:sz="4" w:space="0" w:color="auto"/>
              <w:right w:val="single" w:sz="4" w:space="0" w:color="auto"/>
            </w:tcBorders>
            <w:vAlign w:val="center"/>
          </w:tcPr>
          <w:p w:rsidR="008D42ED" w:rsidRPr="00D25C49" w:rsidRDefault="008D42ED" w:rsidP="005610B8">
            <w:pPr>
              <w:tabs>
                <w:tab w:val="left" w:pos="3240"/>
              </w:tabs>
              <w:spacing w:line="360" w:lineRule="auto"/>
              <w:jc w:val="center"/>
              <w:rPr>
                <w:rFonts w:ascii="宋体" w:hAnsi="宋体"/>
                <w:sz w:val="24"/>
              </w:rPr>
            </w:pPr>
            <w:r w:rsidRPr="00D25C49">
              <w:rPr>
                <w:rFonts w:ascii="宋体" w:hAnsi="宋体"/>
                <w:sz w:val="24"/>
              </w:rPr>
              <w:t>亏损：</w:t>
            </w:r>
            <w:r w:rsidRPr="00D25C49">
              <w:rPr>
                <w:rFonts w:ascii="宋体" w:hAnsi="宋体" w:hint="eastAsia"/>
                <w:sz w:val="24"/>
              </w:rPr>
              <w:t>1</w:t>
            </w:r>
            <w:r w:rsidRPr="00D25C49">
              <w:rPr>
                <w:rFonts w:ascii="宋体" w:hAnsi="宋体"/>
                <w:sz w:val="24"/>
              </w:rPr>
              <w:t>.72元/股</w:t>
            </w:r>
          </w:p>
        </w:tc>
      </w:tr>
      <w:tr w:rsidR="008D42ED" w:rsidRPr="00D25C49" w:rsidTr="00852CB3">
        <w:trPr>
          <w:trHeight w:val="550"/>
          <w:jc w:val="center"/>
        </w:trPr>
        <w:tc>
          <w:tcPr>
            <w:tcW w:w="1077" w:type="pct"/>
            <w:tcBorders>
              <w:left w:val="single" w:sz="4" w:space="0" w:color="auto"/>
              <w:right w:val="single" w:sz="4" w:space="0" w:color="auto"/>
            </w:tcBorders>
            <w:vAlign w:val="center"/>
          </w:tcPr>
          <w:p w:rsidR="008D42ED" w:rsidRPr="00D25C49" w:rsidRDefault="008D42ED" w:rsidP="00D25C49">
            <w:pPr>
              <w:widowControl/>
              <w:spacing w:line="360" w:lineRule="auto"/>
              <w:jc w:val="left"/>
              <w:rPr>
                <w:rFonts w:ascii="宋体" w:hAnsi="宋体"/>
                <w:kern w:val="0"/>
                <w:sz w:val="24"/>
              </w:rPr>
            </w:pPr>
            <w:r w:rsidRPr="00D25C49">
              <w:rPr>
                <w:rFonts w:ascii="宋体" w:hAnsi="宋体" w:hint="eastAsia"/>
                <w:kern w:val="0"/>
                <w:sz w:val="24"/>
              </w:rPr>
              <w:t>营业收入</w:t>
            </w:r>
          </w:p>
        </w:tc>
        <w:tc>
          <w:tcPr>
            <w:tcW w:w="2369" w:type="pct"/>
            <w:tcBorders>
              <w:top w:val="single" w:sz="4" w:space="0" w:color="auto"/>
              <w:left w:val="single" w:sz="4" w:space="0" w:color="auto"/>
              <w:bottom w:val="single" w:sz="4" w:space="0" w:color="auto"/>
              <w:right w:val="single" w:sz="4" w:space="0" w:color="auto"/>
            </w:tcBorders>
            <w:vAlign w:val="center"/>
          </w:tcPr>
          <w:p w:rsidR="008D42ED" w:rsidRPr="00D25C49" w:rsidRDefault="006C6E61" w:rsidP="005610B8">
            <w:pPr>
              <w:tabs>
                <w:tab w:val="left" w:pos="3240"/>
              </w:tabs>
              <w:spacing w:line="360" w:lineRule="auto"/>
              <w:jc w:val="center"/>
              <w:rPr>
                <w:rFonts w:ascii="宋体" w:hAnsi="宋体"/>
                <w:sz w:val="24"/>
              </w:rPr>
            </w:pPr>
            <w:r w:rsidRPr="00D25C49">
              <w:rPr>
                <w:rFonts w:ascii="宋体" w:hAnsi="宋体"/>
                <w:sz w:val="24"/>
              </w:rPr>
              <w:t>207,000</w:t>
            </w:r>
            <w:r w:rsidR="008D42ED" w:rsidRPr="00D25C49">
              <w:rPr>
                <w:rFonts w:ascii="宋体" w:hAnsi="宋体"/>
                <w:sz w:val="24"/>
              </w:rPr>
              <w:t>万元–</w:t>
            </w:r>
            <w:r w:rsidRPr="00D25C49">
              <w:rPr>
                <w:rFonts w:ascii="宋体" w:hAnsi="宋体"/>
                <w:sz w:val="24"/>
              </w:rPr>
              <w:t>253,000</w:t>
            </w:r>
            <w:r w:rsidR="008D42ED" w:rsidRPr="00D25C49">
              <w:rPr>
                <w:rFonts w:ascii="宋体" w:hAnsi="宋体"/>
                <w:sz w:val="24"/>
              </w:rPr>
              <w:t>万元</w:t>
            </w:r>
          </w:p>
        </w:tc>
        <w:tc>
          <w:tcPr>
            <w:tcW w:w="1555" w:type="pct"/>
            <w:tcBorders>
              <w:top w:val="single" w:sz="4" w:space="0" w:color="auto"/>
              <w:left w:val="single" w:sz="4" w:space="0" w:color="auto"/>
              <w:bottom w:val="single" w:sz="4" w:space="0" w:color="auto"/>
              <w:right w:val="single" w:sz="4" w:space="0" w:color="auto"/>
            </w:tcBorders>
            <w:vAlign w:val="center"/>
          </w:tcPr>
          <w:p w:rsidR="008D42ED" w:rsidRPr="00D25C49" w:rsidRDefault="008D42ED" w:rsidP="005610B8">
            <w:pPr>
              <w:tabs>
                <w:tab w:val="left" w:pos="3240"/>
              </w:tabs>
              <w:spacing w:line="360" w:lineRule="auto"/>
              <w:jc w:val="center"/>
              <w:rPr>
                <w:rFonts w:ascii="宋体" w:hAnsi="宋体"/>
                <w:sz w:val="24"/>
              </w:rPr>
            </w:pPr>
            <w:bookmarkStart w:id="3" w:name="OLE_LINK15"/>
            <w:r w:rsidRPr="00D25C49">
              <w:rPr>
                <w:rFonts w:ascii="宋体" w:hAnsi="宋体"/>
                <w:sz w:val="24"/>
              </w:rPr>
              <w:t>405,128.37</w:t>
            </w:r>
            <w:bookmarkEnd w:id="3"/>
            <w:r w:rsidRPr="00D25C49">
              <w:rPr>
                <w:rFonts w:ascii="宋体" w:hAnsi="宋体"/>
                <w:sz w:val="24"/>
              </w:rPr>
              <w:t>万元</w:t>
            </w:r>
          </w:p>
        </w:tc>
      </w:tr>
      <w:tr w:rsidR="00852CB3" w:rsidRPr="00D25C49" w:rsidTr="00852CB3">
        <w:trPr>
          <w:trHeight w:val="550"/>
          <w:jc w:val="center"/>
        </w:trPr>
        <w:tc>
          <w:tcPr>
            <w:tcW w:w="1077" w:type="pct"/>
            <w:tcBorders>
              <w:left w:val="single" w:sz="4" w:space="0" w:color="auto"/>
              <w:right w:val="single" w:sz="4" w:space="0" w:color="auto"/>
            </w:tcBorders>
            <w:vAlign w:val="center"/>
          </w:tcPr>
          <w:p w:rsidR="00852CB3" w:rsidRPr="00D25C49" w:rsidRDefault="00852CB3" w:rsidP="00D25C49">
            <w:pPr>
              <w:widowControl/>
              <w:spacing w:line="360" w:lineRule="auto"/>
              <w:jc w:val="left"/>
              <w:rPr>
                <w:rFonts w:ascii="宋体" w:hAnsi="宋体" w:hint="eastAsia"/>
                <w:kern w:val="0"/>
                <w:sz w:val="24"/>
              </w:rPr>
            </w:pPr>
            <w:r>
              <w:rPr>
                <w:rFonts w:ascii="宋体" w:hAnsi="宋体" w:hint="eastAsia"/>
                <w:kern w:val="0"/>
                <w:sz w:val="24"/>
              </w:rPr>
              <w:t>扣除后营业收入</w:t>
            </w:r>
          </w:p>
        </w:tc>
        <w:tc>
          <w:tcPr>
            <w:tcW w:w="2369" w:type="pct"/>
            <w:tcBorders>
              <w:top w:val="single" w:sz="4" w:space="0" w:color="auto"/>
              <w:left w:val="single" w:sz="4" w:space="0" w:color="auto"/>
              <w:bottom w:val="single" w:sz="4" w:space="0" w:color="auto"/>
              <w:right w:val="single" w:sz="4" w:space="0" w:color="auto"/>
            </w:tcBorders>
            <w:vAlign w:val="center"/>
          </w:tcPr>
          <w:p w:rsidR="00852CB3" w:rsidRPr="00D25C49" w:rsidRDefault="00852CB3" w:rsidP="005610B8">
            <w:pPr>
              <w:tabs>
                <w:tab w:val="left" w:pos="3240"/>
              </w:tabs>
              <w:spacing w:line="360" w:lineRule="auto"/>
              <w:jc w:val="center"/>
              <w:rPr>
                <w:rFonts w:ascii="宋体" w:hAnsi="宋体"/>
                <w:sz w:val="24"/>
              </w:rPr>
            </w:pPr>
            <w:r w:rsidRPr="00D25C49">
              <w:rPr>
                <w:rFonts w:ascii="宋体" w:hAnsi="宋体"/>
                <w:sz w:val="24"/>
              </w:rPr>
              <w:t>20</w:t>
            </w:r>
            <w:r>
              <w:rPr>
                <w:rFonts w:ascii="宋体" w:hAnsi="宋体"/>
                <w:sz w:val="24"/>
              </w:rPr>
              <w:t>4</w:t>
            </w:r>
            <w:r w:rsidRPr="00D25C49">
              <w:rPr>
                <w:rFonts w:ascii="宋体" w:hAnsi="宋体"/>
                <w:sz w:val="24"/>
              </w:rPr>
              <w:t>,000万元–25</w:t>
            </w:r>
            <w:r>
              <w:rPr>
                <w:rFonts w:ascii="宋体" w:hAnsi="宋体"/>
                <w:sz w:val="24"/>
              </w:rPr>
              <w:t>0</w:t>
            </w:r>
            <w:r w:rsidRPr="00D25C49">
              <w:rPr>
                <w:rFonts w:ascii="宋体" w:hAnsi="宋体"/>
                <w:sz w:val="24"/>
              </w:rPr>
              <w:t>,000万元</w:t>
            </w:r>
          </w:p>
        </w:tc>
        <w:tc>
          <w:tcPr>
            <w:tcW w:w="1555" w:type="pct"/>
            <w:tcBorders>
              <w:top w:val="single" w:sz="4" w:space="0" w:color="auto"/>
              <w:left w:val="single" w:sz="4" w:space="0" w:color="auto"/>
              <w:bottom w:val="single" w:sz="4" w:space="0" w:color="auto"/>
              <w:right w:val="single" w:sz="4" w:space="0" w:color="auto"/>
            </w:tcBorders>
            <w:vAlign w:val="center"/>
          </w:tcPr>
          <w:p w:rsidR="00852CB3" w:rsidRPr="00D25C49" w:rsidRDefault="00852CB3" w:rsidP="005610B8">
            <w:pPr>
              <w:tabs>
                <w:tab w:val="left" w:pos="3240"/>
              </w:tabs>
              <w:spacing w:line="360" w:lineRule="auto"/>
              <w:jc w:val="center"/>
              <w:rPr>
                <w:rFonts w:ascii="宋体" w:hAnsi="宋体"/>
                <w:sz w:val="24"/>
              </w:rPr>
            </w:pPr>
            <w:r>
              <w:rPr>
                <w:rFonts w:ascii="宋体" w:hAnsi="宋体" w:hint="eastAsia"/>
                <w:sz w:val="24"/>
              </w:rPr>
              <w:t>4</w:t>
            </w:r>
            <w:r>
              <w:rPr>
                <w:rFonts w:ascii="宋体" w:hAnsi="宋体"/>
                <w:sz w:val="24"/>
              </w:rPr>
              <w:t>01,677.27</w:t>
            </w:r>
            <w:r>
              <w:rPr>
                <w:rFonts w:ascii="宋体" w:hAnsi="宋体" w:hint="eastAsia"/>
                <w:sz w:val="24"/>
              </w:rPr>
              <w:t>万元</w:t>
            </w:r>
          </w:p>
        </w:tc>
      </w:tr>
      <w:tr w:rsidR="008D42ED" w:rsidRPr="00D25C49" w:rsidTr="00852CB3">
        <w:trPr>
          <w:trHeight w:val="550"/>
          <w:jc w:val="center"/>
        </w:trPr>
        <w:tc>
          <w:tcPr>
            <w:tcW w:w="1077" w:type="pct"/>
            <w:vAlign w:val="center"/>
          </w:tcPr>
          <w:p w:rsidR="008D42ED" w:rsidRPr="00D25C49" w:rsidRDefault="008D42ED" w:rsidP="00D25C49">
            <w:pPr>
              <w:widowControl/>
              <w:spacing w:line="360" w:lineRule="auto"/>
              <w:jc w:val="center"/>
              <w:rPr>
                <w:rFonts w:ascii="宋体" w:hAnsi="宋体"/>
                <w:b/>
                <w:kern w:val="0"/>
                <w:sz w:val="24"/>
              </w:rPr>
            </w:pPr>
            <w:r w:rsidRPr="00D25C49">
              <w:rPr>
                <w:rFonts w:ascii="宋体" w:hAnsi="宋体"/>
                <w:b/>
                <w:spacing w:val="-10"/>
                <w:sz w:val="24"/>
              </w:rPr>
              <w:t>项</w:t>
            </w:r>
            <w:r w:rsidRPr="00D25C49">
              <w:rPr>
                <w:rFonts w:ascii="宋体" w:hAnsi="宋体"/>
                <w:b/>
                <w:sz w:val="24"/>
              </w:rPr>
              <w:tab/>
            </w:r>
            <w:r w:rsidRPr="00D25C49">
              <w:rPr>
                <w:rFonts w:ascii="宋体" w:hAnsi="宋体"/>
                <w:b/>
                <w:spacing w:val="-10"/>
                <w:sz w:val="24"/>
              </w:rPr>
              <w:t>目</w:t>
            </w:r>
          </w:p>
        </w:tc>
        <w:tc>
          <w:tcPr>
            <w:tcW w:w="2369" w:type="pct"/>
            <w:vAlign w:val="center"/>
          </w:tcPr>
          <w:p w:rsidR="008D42ED" w:rsidRPr="00D25C49" w:rsidRDefault="008D42ED" w:rsidP="00D25C49">
            <w:pPr>
              <w:tabs>
                <w:tab w:val="left" w:pos="3240"/>
              </w:tabs>
              <w:spacing w:line="360" w:lineRule="auto"/>
              <w:jc w:val="center"/>
              <w:rPr>
                <w:rFonts w:ascii="宋体" w:hAnsi="宋体"/>
                <w:b/>
                <w:kern w:val="0"/>
                <w:sz w:val="24"/>
              </w:rPr>
            </w:pPr>
            <w:r w:rsidRPr="00D25C49">
              <w:rPr>
                <w:rFonts w:ascii="宋体" w:hAnsi="宋体"/>
                <w:b/>
                <w:spacing w:val="-2"/>
                <w:sz w:val="24"/>
              </w:rPr>
              <w:t>本会计年度末</w:t>
            </w:r>
          </w:p>
        </w:tc>
        <w:tc>
          <w:tcPr>
            <w:tcW w:w="1555" w:type="pct"/>
            <w:vAlign w:val="center"/>
          </w:tcPr>
          <w:p w:rsidR="008D42ED" w:rsidRPr="00D25C49" w:rsidRDefault="008D42ED" w:rsidP="00D25C49">
            <w:pPr>
              <w:tabs>
                <w:tab w:val="left" w:pos="3240"/>
              </w:tabs>
              <w:spacing w:line="360" w:lineRule="auto"/>
              <w:jc w:val="center"/>
              <w:rPr>
                <w:rFonts w:ascii="宋体" w:hAnsi="宋体"/>
                <w:b/>
                <w:sz w:val="24"/>
              </w:rPr>
            </w:pPr>
            <w:r w:rsidRPr="00D25C49">
              <w:rPr>
                <w:rFonts w:ascii="宋体" w:hAnsi="宋体"/>
                <w:b/>
                <w:spacing w:val="-4"/>
                <w:sz w:val="24"/>
              </w:rPr>
              <w:t>上年末</w:t>
            </w:r>
          </w:p>
        </w:tc>
      </w:tr>
      <w:tr w:rsidR="008D42ED" w:rsidRPr="00D25C49" w:rsidTr="00852CB3">
        <w:trPr>
          <w:trHeight w:val="550"/>
          <w:jc w:val="center"/>
        </w:trPr>
        <w:tc>
          <w:tcPr>
            <w:tcW w:w="1077" w:type="pct"/>
            <w:vAlign w:val="center"/>
          </w:tcPr>
          <w:p w:rsidR="008D42ED" w:rsidRPr="00D25C49" w:rsidRDefault="008D42ED" w:rsidP="00D25C49">
            <w:pPr>
              <w:pStyle w:val="TableParagraph"/>
              <w:spacing w:line="360" w:lineRule="auto"/>
              <w:ind w:left="107" w:right="166"/>
              <w:rPr>
                <w:rFonts w:ascii="宋体" w:eastAsia="宋体" w:hAnsi="宋体"/>
                <w:sz w:val="24"/>
                <w:szCs w:val="24"/>
              </w:rPr>
            </w:pPr>
            <w:r w:rsidRPr="00D25C49">
              <w:rPr>
                <w:rFonts w:ascii="宋体" w:eastAsia="宋体" w:hAnsi="宋体" w:cs="Times New Roman"/>
                <w:sz w:val="24"/>
                <w:szCs w:val="24"/>
              </w:rPr>
              <w:t>归属于上市公司股东的所有者权益</w:t>
            </w:r>
          </w:p>
        </w:tc>
        <w:tc>
          <w:tcPr>
            <w:tcW w:w="2369" w:type="pct"/>
            <w:vAlign w:val="center"/>
          </w:tcPr>
          <w:p w:rsidR="008D42ED" w:rsidRPr="00D25C49" w:rsidRDefault="006C6E61" w:rsidP="005610B8">
            <w:pPr>
              <w:tabs>
                <w:tab w:val="left" w:pos="3240"/>
              </w:tabs>
              <w:spacing w:line="360" w:lineRule="auto"/>
              <w:jc w:val="center"/>
              <w:rPr>
                <w:rFonts w:ascii="宋体" w:hAnsi="宋体"/>
                <w:kern w:val="0"/>
                <w:sz w:val="24"/>
              </w:rPr>
            </w:pPr>
            <w:bookmarkStart w:id="4" w:name="OLE_LINK16"/>
            <w:r w:rsidRPr="00D25C49">
              <w:rPr>
                <w:rFonts w:ascii="宋体" w:hAnsi="宋体"/>
                <w:sz w:val="24"/>
              </w:rPr>
              <w:t>11</w:t>
            </w:r>
            <w:r w:rsidR="00852CB3">
              <w:rPr>
                <w:rFonts w:ascii="宋体" w:hAnsi="宋体"/>
                <w:sz w:val="24"/>
              </w:rPr>
              <w:t>6</w:t>
            </w:r>
            <w:r w:rsidRPr="00D25C49">
              <w:rPr>
                <w:rFonts w:ascii="宋体" w:hAnsi="宋体"/>
                <w:sz w:val="24"/>
              </w:rPr>
              <w:t>,000</w:t>
            </w:r>
            <w:bookmarkEnd w:id="4"/>
            <w:r w:rsidR="008D42ED" w:rsidRPr="00D25C49">
              <w:rPr>
                <w:rFonts w:ascii="宋体" w:hAnsi="宋体"/>
                <w:sz w:val="24"/>
              </w:rPr>
              <w:t>万元–</w:t>
            </w:r>
            <w:r w:rsidR="00852CB3">
              <w:rPr>
                <w:rFonts w:ascii="宋体" w:hAnsi="宋体"/>
                <w:sz w:val="24"/>
              </w:rPr>
              <w:t>166</w:t>
            </w:r>
            <w:r w:rsidRPr="00D25C49">
              <w:rPr>
                <w:rFonts w:ascii="宋体" w:hAnsi="宋体"/>
                <w:sz w:val="24"/>
              </w:rPr>
              <w:t>,000</w:t>
            </w:r>
            <w:r w:rsidR="008D42ED" w:rsidRPr="00D25C49">
              <w:rPr>
                <w:rFonts w:ascii="宋体" w:hAnsi="宋体"/>
                <w:spacing w:val="-5"/>
                <w:sz w:val="24"/>
              </w:rPr>
              <w:t>万元</w:t>
            </w:r>
          </w:p>
        </w:tc>
        <w:tc>
          <w:tcPr>
            <w:tcW w:w="1555" w:type="pct"/>
            <w:vAlign w:val="center"/>
          </w:tcPr>
          <w:p w:rsidR="008D42ED" w:rsidRPr="00D25C49" w:rsidRDefault="008D42ED" w:rsidP="005610B8">
            <w:pPr>
              <w:tabs>
                <w:tab w:val="left" w:pos="3240"/>
              </w:tabs>
              <w:spacing w:line="360" w:lineRule="auto"/>
              <w:jc w:val="center"/>
              <w:rPr>
                <w:rFonts w:ascii="宋体" w:hAnsi="宋体"/>
                <w:sz w:val="24"/>
              </w:rPr>
            </w:pPr>
            <w:r w:rsidRPr="00D25C49">
              <w:rPr>
                <w:rFonts w:ascii="宋体" w:hAnsi="宋体" w:hint="eastAsia"/>
                <w:spacing w:val="-5"/>
                <w:sz w:val="24"/>
              </w:rPr>
              <w:t>-</w:t>
            </w:r>
            <w:r w:rsidRPr="00D25C49">
              <w:rPr>
                <w:rFonts w:ascii="宋体" w:hAnsi="宋体"/>
                <w:spacing w:val="-5"/>
                <w:sz w:val="24"/>
              </w:rPr>
              <w:t>55</w:t>
            </w:r>
            <w:r w:rsidRPr="00D25C49">
              <w:rPr>
                <w:rFonts w:ascii="宋体" w:hAnsi="宋体" w:hint="eastAsia"/>
                <w:spacing w:val="-5"/>
                <w:sz w:val="24"/>
              </w:rPr>
              <w:t>,</w:t>
            </w:r>
            <w:r w:rsidRPr="00D25C49">
              <w:rPr>
                <w:rFonts w:ascii="宋体" w:hAnsi="宋体"/>
                <w:spacing w:val="-5"/>
                <w:sz w:val="24"/>
              </w:rPr>
              <w:t>830.33万元</w:t>
            </w:r>
          </w:p>
        </w:tc>
      </w:tr>
    </w:tbl>
    <w:bookmarkEnd w:id="1"/>
    <w:p w:rsidR="004F27AB" w:rsidRPr="00CD6599" w:rsidRDefault="004F27AB" w:rsidP="004F27AB">
      <w:pPr>
        <w:tabs>
          <w:tab w:val="left" w:pos="3240"/>
        </w:tabs>
        <w:spacing w:before="240" w:after="240" w:line="360" w:lineRule="auto"/>
        <w:ind w:firstLineChars="200" w:firstLine="482"/>
        <w:rPr>
          <w:rFonts w:ascii="宋体" w:hAnsi="宋体"/>
          <w:b/>
          <w:sz w:val="24"/>
        </w:rPr>
      </w:pPr>
      <w:r w:rsidRPr="00CD6599">
        <w:rPr>
          <w:rFonts w:ascii="宋体" w:hAnsi="宋体" w:hint="eastAsia"/>
          <w:b/>
          <w:sz w:val="24"/>
        </w:rPr>
        <w:t>二、与会计师事务所沟通情况</w:t>
      </w:r>
    </w:p>
    <w:p w:rsidR="00470876" w:rsidRDefault="00470876" w:rsidP="004F27AB">
      <w:pPr>
        <w:tabs>
          <w:tab w:val="left" w:pos="3240"/>
        </w:tabs>
        <w:spacing w:before="240" w:after="240" w:line="360" w:lineRule="auto"/>
        <w:ind w:firstLineChars="200" w:firstLine="480"/>
        <w:rPr>
          <w:rFonts w:ascii="宋体" w:hAnsi="宋体"/>
          <w:sz w:val="24"/>
        </w:rPr>
      </w:pPr>
      <w:r w:rsidRPr="00CD6599">
        <w:rPr>
          <w:rFonts w:ascii="宋体" w:hAnsi="宋体" w:hint="eastAsia"/>
          <w:sz w:val="24"/>
        </w:rPr>
        <w:t>本次业绩预告相关数据是公司财务部门初步测算的结果</w:t>
      </w:r>
      <w:r w:rsidR="00CE468B">
        <w:rPr>
          <w:rFonts w:ascii="宋体" w:hAnsi="宋体" w:hint="eastAsia"/>
          <w:sz w:val="24"/>
        </w:rPr>
        <w:t>，</w:t>
      </w:r>
      <w:r w:rsidRPr="00CD6599">
        <w:rPr>
          <w:rFonts w:ascii="宋体" w:hAnsi="宋体" w:hint="eastAsia"/>
          <w:sz w:val="24"/>
        </w:rPr>
        <w:t>具体数据以最终审计结果为准。</w:t>
      </w:r>
    </w:p>
    <w:p w:rsidR="009D0CE8" w:rsidRPr="00CD6599" w:rsidRDefault="009D0CE8" w:rsidP="004F27AB">
      <w:pPr>
        <w:tabs>
          <w:tab w:val="left" w:pos="3240"/>
        </w:tabs>
        <w:spacing w:before="240" w:after="240" w:line="360" w:lineRule="auto"/>
        <w:ind w:firstLineChars="200" w:firstLine="480"/>
        <w:rPr>
          <w:rFonts w:ascii="宋体" w:hAnsi="宋体" w:hint="eastAsia"/>
          <w:sz w:val="24"/>
        </w:rPr>
      </w:pPr>
    </w:p>
    <w:p w:rsidR="00ED6097" w:rsidRDefault="004F27AB" w:rsidP="006F2597">
      <w:pPr>
        <w:tabs>
          <w:tab w:val="left" w:pos="3240"/>
        </w:tabs>
        <w:spacing w:before="240" w:after="240" w:line="360" w:lineRule="auto"/>
        <w:ind w:firstLineChars="200" w:firstLine="482"/>
        <w:rPr>
          <w:rFonts w:ascii="宋体" w:hAnsi="宋体"/>
          <w:b/>
          <w:sz w:val="24"/>
        </w:rPr>
      </w:pPr>
      <w:r w:rsidRPr="00CD6599">
        <w:rPr>
          <w:rFonts w:ascii="宋体" w:hAnsi="宋体" w:hint="eastAsia"/>
          <w:b/>
          <w:sz w:val="24"/>
        </w:rPr>
        <w:lastRenderedPageBreak/>
        <w:t>三、业绩变动原因</w:t>
      </w:r>
      <w:r w:rsidR="00112EB6" w:rsidRPr="00CD6599">
        <w:rPr>
          <w:rFonts w:ascii="宋体" w:hAnsi="宋体" w:hint="eastAsia"/>
          <w:b/>
          <w:sz w:val="24"/>
        </w:rPr>
        <w:t>说明</w:t>
      </w:r>
    </w:p>
    <w:p w:rsidR="001D6663" w:rsidRPr="00ED6097" w:rsidRDefault="001D6663" w:rsidP="00CC718D">
      <w:pPr>
        <w:tabs>
          <w:tab w:val="left" w:pos="3240"/>
        </w:tabs>
        <w:spacing w:line="360" w:lineRule="auto"/>
        <w:ind w:firstLineChars="200" w:firstLine="480"/>
        <w:rPr>
          <w:rFonts w:ascii="宋体" w:hAnsi="宋体"/>
          <w:b/>
          <w:sz w:val="24"/>
        </w:rPr>
      </w:pPr>
      <w:r w:rsidRPr="00CD6599">
        <w:rPr>
          <w:rFonts w:ascii="宋体" w:hAnsi="宋体" w:hint="eastAsia"/>
          <w:sz w:val="24"/>
        </w:rPr>
        <w:t>本</w:t>
      </w:r>
      <w:r w:rsidRPr="00CD6599">
        <w:rPr>
          <w:rFonts w:ascii="宋体" w:hAnsi="宋体"/>
          <w:sz w:val="24"/>
        </w:rPr>
        <w:t>报告期内</w:t>
      </w:r>
      <w:r w:rsidRPr="00CD6599">
        <w:rPr>
          <w:rFonts w:ascii="宋体" w:hAnsi="宋体" w:hint="eastAsia"/>
          <w:sz w:val="24"/>
        </w:rPr>
        <w:t>造</w:t>
      </w:r>
      <w:r w:rsidRPr="00CD6599">
        <w:rPr>
          <w:rFonts w:ascii="宋体" w:hAnsi="宋体"/>
          <w:sz w:val="24"/>
        </w:rPr>
        <w:t>成</w:t>
      </w:r>
      <w:r w:rsidRPr="00CD6599">
        <w:rPr>
          <w:rFonts w:ascii="宋体" w:hAnsi="宋体" w:hint="eastAsia"/>
          <w:sz w:val="24"/>
        </w:rPr>
        <w:t>公司</w:t>
      </w:r>
      <w:r w:rsidRPr="00CD6599">
        <w:rPr>
          <w:rFonts w:ascii="宋体" w:hAnsi="宋体"/>
          <w:sz w:val="24"/>
        </w:rPr>
        <w:t>业绩</w:t>
      </w:r>
      <w:r w:rsidR="006A3561" w:rsidRPr="00CD6599">
        <w:rPr>
          <w:rFonts w:ascii="宋体" w:hAnsi="宋体" w:hint="eastAsia"/>
          <w:sz w:val="24"/>
        </w:rPr>
        <w:t>变动的</w:t>
      </w:r>
      <w:r w:rsidRPr="00CD6599">
        <w:rPr>
          <w:rFonts w:ascii="宋体" w:hAnsi="宋体"/>
          <w:sz w:val="24"/>
        </w:rPr>
        <w:t>主要原因如下：</w:t>
      </w:r>
    </w:p>
    <w:p w:rsidR="006C6E61" w:rsidRPr="00CD6599" w:rsidRDefault="006C6E61" w:rsidP="006C6E61">
      <w:pPr>
        <w:tabs>
          <w:tab w:val="left" w:pos="3240"/>
        </w:tabs>
        <w:spacing w:line="360" w:lineRule="auto"/>
        <w:ind w:firstLineChars="200" w:firstLine="480"/>
        <w:rPr>
          <w:rFonts w:ascii="宋体" w:hAnsi="宋体"/>
          <w:sz w:val="24"/>
        </w:rPr>
      </w:pPr>
      <w:r w:rsidRPr="00CD6599">
        <w:rPr>
          <w:rFonts w:ascii="宋体" w:hAnsi="宋体" w:hint="eastAsia"/>
          <w:sz w:val="24"/>
        </w:rPr>
        <w:t>1、2024年度公司处于重整阶段，受运营资金紧张的影响，订单承接受限，产销下降</w:t>
      </w:r>
      <w:r w:rsidR="009D0CE8">
        <w:rPr>
          <w:rFonts w:ascii="宋体" w:hAnsi="宋体" w:hint="eastAsia"/>
          <w:sz w:val="24"/>
        </w:rPr>
        <w:t>。</w:t>
      </w:r>
      <w:r w:rsidRPr="00CD6599">
        <w:rPr>
          <w:rFonts w:ascii="宋体" w:hAnsi="宋体" w:hint="eastAsia"/>
          <w:sz w:val="24"/>
        </w:rPr>
        <w:t>线缆业务力保重点客户的交付履行</w:t>
      </w:r>
      <w:r w:rsidR="009D0CE8">
        <w:rPr>
          <w:rFonts w:ascii="宋体" w:hAnsi="宋体" w:hint="eastAsia"/>
          <w:sz w:val="24"/>
        </w:rPr>
        <w:t>；</w:t>
      </w:r>
      <w:r w:rsidRPr="00CD6599">
        <w:rPr>
          <w:rFonts w:ascii="宋体" w:hAnsi="宋体" w:hint="eastAsia"/>
          <w:sz w:val="24"/>
        </w:rPr>
        <w:t>光伏业务受市场影响</w:t>
      </w:r>
      <w:r w:rsidR="00852CB3">
        <w:rPr>
          <w:rFonts w:ascii="宋体" w:hAnsi="宋体" w:hint="eastAsia"/>
          <w:sz w:val="24"/>
        </w:rPr>
        <w:t>，</w:t>
      </w:r>
      <w:r w:rsidRPr="00CD6599">
        <w:rPr>
          <w:rFonts w:ascii="宋体" w:hAnsi="宋体" w:hint="eastAsia"/>
          <w:sz w:val="24"/>
        </w:rPr>
        <w:t>营收下降较多</w:t>
      </w:r>
      <w:r w:rsidR="00852CB3">
        <w:rPr>
          <w:rFonts w:ascii="宋体" w:hAnsi="宋体" w:hint="eastAsia"/>
          <w:sz w:val="24"/>
        </w:rPr>
        <w:t>；</w:t>
      </w:r>
      <w:r w:rsidRPr="00CD6599">
        <w:rPr>
          <w:rFonts w:ascii="宋体" w:hAnsi="宋体" w:hint="eastAsia"/>
          <w:sz w:val="24"/>
        </w:rPr>
        <w:t>公司维持日常经营刚性费用仍需正常支出，整体业绩无法较好体现。全年经营性亏损约4亿元。</w:t>
      </w:r>
    </w:p>
    <w:p w:rsidR="00440420" w:rsidRDefault="00A720CC" w:rsidP="00853892">
      <w:pPr>
        <w:tabs>
          <w:tab w:val="left" w:pos="3240"/>
        </w:tabs>
        <w:spacing w:line="360" w:lineRule="auto"/>
        <w:ind w:firstLineChars="200" w:firstLine="480"/>
        <w:rPr>
          <w:rFonts w:ascii="宋体" w:hAnsi="宋体"/>
          <w:sz w:val="24"/>
        </w:rPr>
      </w:pPr>
      <w:r>
        <w:rPr>
          <w:rFonts w:ascii="宋体" w:hAnsi="宋体"/>
          <w:sz w:val="24"/>
        </w:rPr>
        <w:t>2</w:t>
      </w:r>
      <w:r w:rsidR="006C6E61" w:rsidRPr="00CD6599">
        <w:rPr>
          <w:rFonts w:ascii="宋体" w:hAnsi="宋体" w:hint="eastAsia"/>
          <w:sz w:val="24"/>
        </w:rPr>
        <w:t>、2024年</w:t>
      </w:r>
      <w:r w:rsidR="00773204" w:rsidRPr="00CD6599">
        <w:rPr>
          <w:rFonts w:ascii="宋体" w:hAnsi="宋体" w:hint="eastAsia"/>
          <w:sz w:val="24"/>
        </w:rPr>
        <w:t>度</w:t>
      </w:r>
      <w:r w:rsidR="006C6E61" w:rsidRPr="00CD6599">
        <w:rPr>
          <w:rFonts w:ascii="宋体" w:hAnsi="宋体" w:hint="eastAsia"/>
          <w:sz w:val="24"/>
        </w:rPr>
        <w:t>，</w:t>
      </w:r>
      <w:r w:rsidR="00CE468B">
        <w:rPr>
          <w:rFonts w:ascii="宋体" w:hAnsi="宋体" w:hint="eastAsia"/>
          <w:sz w:val="24"/>
        </w:rPr>
        <w:t>光伏行业</w:t>
      </w:r>
      <w:r w:rsidR="00185EE5">
        <w:rPr>
          <w:rFonts w:ascii="宋体" w:hAnsi="宋体" w:hint="eastAsia"/>
          <w:sz w:val="24"/>
        </w:rPr>
        <w:t>新增装机量虽保持增长，</w:t>
      </w:r>
      <w:r w:rsidR="00ED6097">
        <w:rPr>
          <w:rFonts w:ascii="宋体" w:hAnsi="宋体" w:hint="eastAsia"/>
          <w:sz w:val="24"/>
        </w:rPr>
        <w:t>但</w:t>
      </w:r>
      <w:r w:rsidR="00ED6097" w:rsidRPr="00CD6599">
        <w:rPr>
          <w:rFonts w:ascii="宋体" w:hAnsi="宋体" w:hint="eastAsia"/>
          <w:sz w:val="24"/>
        </w:rPr>
        <w:t>行业</w:t>
      </w:r>
      <w:r w:rsidR="006C6E61" w:rsidRPr="00CD6599">
        <w:rPr>
          <w:rFonts w:ascii="宋体" w:hAnsi="宋体" w:hint="eastAsia"/>
          <w:sz w:val="24"/>
        </w:rPr>
        <w:t>供需失衡矛盾突出</w:t>
      </w:r>
      <w:r w:rsidR="00185EE5">
        <w:rPr>
          <w:rFonts w:ascii="宋体" w:hAnsi="宋体" w:hint="eastAsia"/>
          <w:sz w:val="24"/>
        </w:rPr>
        <w:t>；光棒光纤业务在本报告期内也处于持续低迷的状态，</w:t>
      </w:r>
      <w:r w:rsidR="006C6E61" w:rsidRPr="00CD6599">
        <w:rPr>
          <w:rFonts w:ascii="宋体" w:hAnsi="宋体" w:hint="eastAsia"/>
          <w:sz w:val="24"/>
        </w:rPr>
        <w:t>加</w:t>
      </w:r>
      <w:r w:rsidR="002A391F">
        <w:rPr>
          <w:rFonts w:ascii="宋体" w:hAnsi="宋体" w:hint="eastAsia"/>
          <w:sz w:val="24"/>
        </w:rPr>
        <w:t>之</w:t>
      </w:r>
      <w:r w:rsidR="006C6E61" w:rsidRPr="00CD6599">
        <w:rPr>
          <w:rFonts w:ascii="宋体" w:hAnsi="宋体" w:hint="eastAsia"/>
          <w:sz w:val="24"/>
        </w:rPr>
        <w:t>公司</w:t>
      </w:r>
      <w:r w:rsidR="002A391F">
        <w:rPr>
          <w:rFonts w:ascii="宋体" w:hAnsi="宋体" w:hint="eastAsia"/>
          <w:sz w:val="24"/>
        </w:rPr>
        <w:t>处于重整阶</w:t>
      </w:r>
      <w:r w:rsidR="00185EE5">
        <w:rPr>
          <w:rFonts w:ascii="宋体" w:hAnsi="宋体" w:hint="eastAsia"/>
          <w:sz w:val="24"/>
        </w:rPr>
        <w:t>段</w:t>
      </w:r>
      <w:r w:rsidR="006C6E61" w:rsidRPr="00CD6599">
        <w:rPr>
          <w:rFonts w:ascii="宋体" w:hAnsi="宋体" w:hint="eastAsia"/>
          <w:sz w:val="24"/>
        </w:rPr>
        <w:t>，产能</w:t>
      </w:r>
      <w:r w:rsidR="002A391F">
        <w:rPr>
          <w:rFonts w:ascii="宋体" w:hAnsi="宋体" w:hint="eastAsia"/>
          <w:sz w:val="24"/>
        </w:rPr>
        <w:t>释放</w:t>
      </w:r>
      <w:r w:rsidR="006C6E61" w:rsidRPr="00CD6599">
        <w:rPr>
          <w:rFonts w:ascii="宋体" w:hAnsi="宋体" w:hint="eastAsia"/>
          <w:sz w:val="24"/>
        </w:rPr>
        <w:t>严重受限</w:t>
      </w:r>
      <w:r w:rsidR="00852CB3">
        <w:rPr>
          <w:rFonts w:ascii="宋体" w:hAnsi="宋体" w:hint="eastAsia"/>
          <w:sz w:val="24"/>
        </w:rPr>
        <w:t>。基于上述情况，</w:t>
      </w:r>
      <w:r w:rsidR="00185EE5">
        <w:rPr>
          <w:rFonts w:ascii="宋体" w:hAnsi="宋体" w:hint="eastAsia"/>
          <w:sz w:val="24"/>
        </w:rPr>
        <w:t>相关固定资产、存货等计提</w:t>
      </w:r>
      <w:r w:rsidR="009D7D39">
        <w:rPr>
          <w:rFonts w:ascii="宋体" w:hAnsi="宋体" w:hint="eastAsia"/>
          <w:sz w:val="24"/>
        </w:rPr>
        <w:t>减值</w:t>
      </w:r>
      <w:r w:rsidR="00185EE5">
        <w:rPr>
          <w:rFonts w:ascii="宋体" w:hAnsi="宋体" w:hint="eastAsia"/>
          <w:sz w:val="24"/>
        </w:rPr>
        <w:t>准备约</w:t>
      </w:r>
      <w:r w:rsidR="00185EE5">
        <w:rPr>
          <w:rFonts w:ascii="宋体" w:hAnsi="宋体"/>
          <w:sz w:val="24"/>
        </w:rPr>
        <w:t>8</w:t>
      </w:r>
      <w:r w:rsidR="00185EE5">
        <w:rPr>
          <w:rFonts w:ascii="宋体" w:hAnsi="宋体" w:hint="eastAsia"/>
          <w:sz w:val="24"/>
        </w:rPr>
        <w:t>亿</w:t>
      </w:r>
      <w:r w:rsidR="00440420">
        <w:rPr>
          <w:rFonts w:ascii="宋体" w:hAnsi="宋体" w:hint="eastAsia"/>
          <w:sz w:val="24"/>
        </w:rPr>
        <w:t>元</w:t>
      </w:r>
      <w:r w:rsidR="00853892">
        <w:rPr>
          <w:rFonts w:ascii="宋体" w:hAnsi="宋体" w:hint="eastAsia"/>
          <w:sz w:val="24"/>
        </w:rPr>
        <w:t>；报告期内</w:t>
      </w:r>
      <w:r w:rsidR="00733D34">
        <w:rPr>
          <w:rFonts w:ascii="宋体" w:hAnsi="宋体" w:hint="eastAsia"/>
          <w:sz w:val="24"/>
        </w:rPr>
        <w:t>财务费用、</w:t>
      </w:r>
      <w:r w:rsidR="00723A80">
        <w:rPr>
          <w:rFonts w:ascii="宋体" w:hAnsi="宋体" w:hint="eastAsia"/>
          <w:sz w:val="24"/>
        </w:rPr>
        <w:t>信用减值</w:t>
      </w:r>
      <w:r w:rsidR="001956E0">
        <w:rPr>
          <w:rFonts w:ascii="宋体" w:hAnsi="宋体" w:hint="eastAsia"/>
          <w:sz w:val="24"/>
        </w:rPr>
        <w:t>损失</w:t>
      </w:r>
      <w:r w:rsidR="00733D34">
        <w:rPr>
          <w:rFonts w:ascii="宋体" w:hAnsi="宋体" w:hint="eastAsia"/>
          <w:sz w:val="24"/>
        </w:rPr>
        <w:t>等事项对利润影响约为</w:t>
      </w:r>
      <w:r w:rsidR="00723A80">
        <w:rPr>
          <w:rFonts w:ascii="宋体" w:hAnsi="宋体"/>
          <w:sz w:val="24"/>
        </w:rPr>
        <w:t>9</w:t>
      </w:r>
      <w:r w:rsidR="00733D34">
        <w:rPr>
          <w:rFonts w:ascii="宋体" w:hAnsi="宋体" w:hint="eastAsia"/>
          <w:sz w:val="24"/>
        </w:rPr>
        <w:t>亿元。</w:t>
      </w:r>
    </w:p>
    <w:p w:rsidR="00634F37" w:rsidRDefault="00A720CC" w:rsidP="00440420">
      <w:pPr>
        <w:tabs>
          <w:tab w:val="left" w:pos="3240"/>
        </w:tabs>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sidRPr="00CD6599">
        <w:rPr>
          <w:rFonts w:ascii="宋体" w:hAnsi="宋体" w:hint="eastAsia"/>
          <w:sz w:val="24"/>
        </w:rPr>
        <w:t>2024年度公司重整计划执行完毕，通过实施重整计划，公司彻底解决了资金占用等历史遗留问题，公司负债规模较期初大幅下降，公司资产负债结构得到了根本性改善</w:t>
      </w:r>
      <w:r w:rsidR="00634F37">
        <w:rPr>
          <w:rFonts w:ascii="宋体" w:hAnsi="宋体" w:hint="eastAsia"/>
          <w:sz w:val="24"/>
        </w:rPr>
        <w:t>。</w:t>
      </w:r>
      <w:r w:rsidRPr="00CD6599">
        <w:rPr>
          <w:rFonts w:ascii="宋体" w:hAnsi="宋体" w:hint="eastAsia"/>
          <w:sz w:val="24"/>
        </w:rPr>
        <w:t>公司</w:t>
      </w:r>
      <w:r w:rsidR="00634F37">
        <w:rPr>
          <w:rFonts w:ascii="宋体" w:hAnsi="宋体" w:hint="eastAsia"/>
          <w:sz w:val="24"/>
        </w:rPr>
        <w:t>获得</w:t>
      </w:r>
      <w:r w:rsidRPr="00CD6599">
        <w:rPr>
          <w:rFonts w:ascii="宋体" w:hAnsi="宋体" w:hint="eastAsia"/>
          <w:sz w:val="24"/>
        </w:rPr>
        <w:t>重整</w:t>
      </w:r>
      <w:r w:rsidR="00634F37">
        <w:rPr>
          <w:rFonts w:ascii="宋体" w:hAnsi="宋体" w:hint="eastAsia"/>
          <w:sz w:val="24"/>
        </w:rPr>
        <w:t>事项相关的</w:t>
      </w:r>
      <w:r w:rsidRPr="00CD6599">
        <w:rPr>
          <w:rFonts w:ascii="宋体" w:hAnsi="宋体" w:hint="eastAsia"/>
          <w:sz w:val="24"/>
        </w:rPr>
        <w:t>收益预计约19亿元</w:t>
      </w:r>
      <w:r w:rsidR="004A3D3D">
        <w:rPr>
          <w:rFonts w:ascii="宋体" w:hAnsi="宋体" w:hint="eastAsia"/>
          <w:sz w:val="24"/>
        </w:rPr>
        <w:t>，</w:t>
      </w:r>
      <w:r w:rsidR="00634F37">
        <w:rPr>
          <w:rFonts w:ascii="宋体" w:hAnsi="宋体" w:hint="eastAsia"/>
          <w:sz w:val="24"/>
        </w:rPr>
        <w:t>补充确认担保负债、破产重整费用等事项的损失约</w:t>
      </w:r>
      <w:r w:rsidR="00CE468B">
        <w:rPr>
          <w:rFonts w:ascii="宋体" w:hAnsi="宋体"/>
          <w:sz w:val="24"/>
        </w:rPr>
        <w:t>9</w:t>
      </w:r>
      <w:r w:rsidR="00634F37">
        <w:rPr>
          <w:rFonts w:ascii="宋体" w:hAnsi="宋体" w:hint="eastAsia"/>
          <w:sz w:val="24"/>
        </w:rPr>
        <w:t>亿元。</w:t>
      </w:r>
    </w:p>
    <w:p w:rsidR="00A219B2" w:rsidRPr="00CD6599" w:rsidRDefault="006C6E61" w:rsidP="006C6E61">
      <w:pPr>
        <w:tabs>
          <w:tab w:val="left" w:pos="3240"/>
        </w:tabs>
        <w:spacing w:line="360" w:lineRule="auto"/>
        <w:ind w:firstLineChars="200" w:firstLine="480"/>
        <w:rPr>
          <w:rFonts w:ascii="宋体" w:hAnsi="宋体"/>
          <w:sz w:val="24"/>
        </w:rPr>
      </w:pPr>
      <w:r w:rsidRPr="00CD6599">
        <w:rPr>
          <w:rFonts w:ascii="宋体" w:hAnsi="宋体" w:hint="eastAsia"/>
          <w:sz w:val="24"/>
        </w:rPr>
        <w:t>上述事项具体影响金额以最终审计结果为准。</w:t>
      </w:r>
    </w:p>
    <w:p w:rsidR="004F27AB" w:rsidRPr="00CD6599" w:rsidRDefault="004F27AB" w:rsidP="004F27AB">
      <w:pPr>
        <w:tabs>
          <w:tab w:val="left" w:pos="3240"/>
        </w:tabs>
        <w:spacing w:before="240" w:after="240" w:line="360" w:lineRule="auto"/>
        <w:ind w:firstLineChars="200" w:firstLine="482"/>
        <w:rPr>
          <w:rFonts w:ascii="宋体" w:hAnsi="宋体"/>
          <w:b/>
          <w:sz w:val="24"/>
        </w:rPr>
      </w:pPr>
      <w:r w:rsidRPr="00CD6599">
        <w:rPr>
          <w:rFonts w:ascii="宋体" w:hAnsi="宋体" w:hint="eastAsia"/>
          <w:b/>
          <w:sz w:val="24"/>
        </w:rPr>
        <w:t>四、</w:t>
      </w:r>
      <w:r w:rsidR="002E44EB" w:rsidRPr="00CD6599">
        <w:rPr>
          <w:rFonts w:ascii="宋体" w:hAnsi="宋体" w:hint="eastAsia"/>
          <w:b/>
          <w:sz w:val="24"/>
        </w:rPr>
        <w:t>其他说明</w:t>
      </w:r>
    </w:p>
    <w:p w:rsidR="006C6E61" w:rsidRPr="00CD6599" w:rsidRDefault="006C6E61" w:rsidP="006C6E61">
      <w:pPr>
        <w:tabs>
          <w:tab w:val="left" w:pos="3240"/>
        </w:tabs>
        <w:spacing w:line="360" w:lineRule="auto"/>
        <w:ind w:firstLineChars="200" w:firstLine="480"/>
        <w:rPr>
          <w:rFonts w:ascii="宋体" w:hAnsi="宋体"/>
          <w:sz w:val="24"/>
        </w:rPr>
      </w:pPr>
      <w:r w:rsidRPr="00CD6599">
        <w:rPr>
          <w:rFonts w:ascii="宋体" w:hAnsi="宋体" w:hint="eastAsia"/>
          <w:sz w:val="24"/>
        </w:rPr>
        <w:t>1、本次业绩预告是公司财务部门初步测算的结果，与2024年年度报告中披露的最终数据可能存在差异。同时，上述因重整产生的相关收益属于非经常性损益，仅为公司初步估算的结果，尚未经审计机构审计。公司因实施重整计划而获得的具体收益及对财务数据的具体影响仍需以2024年度经审计的财务报告为准。</w:t>
      </w:r>
    </w:p>
    <w:p w:rsidR="00723A80" w:rsidRDefault="00500719" w:rsidP="00A720CC">
      <w:pPr>
        <w:tabs>
          <w:tab w:val="left" w:pos="3240"/>
        </w:tabs>
        <w:spacing w:line="360" w:lineRule="auto"/>
        <w:ind w:firstLineChars="200" w:firstLine="480"/>
        <w:rPr>
          <w:rFonts w:ascii="宋体" w:hAnsi="宋体"/>
          <w:sz w:val="24"/>
        </w:rPr>
      </w:pPr>
      <w:r w:rsidRPr="00723A80">
        <w:rPr>
          <w:rFonts w:ascii="宋体" w:hAnsi="宋体"/>
          <w:sz w:val="24"/>
        </w:rPr>
        <w:t>2</w:t>
      </w:r>
      <w:r w:rsidR="006C6E61" w:rsidRPr="00723A80">
        <w:rPr>
          <w:rFonts w:ascii="宋体" w:hAnsi="宋体" w:hint="eastAsia"/>
          <w:sz w:val="24"/>
        </w:rPr>
        <w:t>、</w:t>
      </w:r>
      <w:r w:rsidRPr="00723A80">
        <w:rPr>
          <w:rFonts w:ascii="宋体" w:hAnsi="宋体" w:hint="eastAsia"/>
          <w:sz w:val="24"/>
        </w:rPr>
        <w:t>截至本公告披露日，管理人证券账户仍持有公司427,280,046股转增股份(占总股本的14.21%)。管理人将按照重整计划的安排，陆续将转增股票划转至部分重整投资人指定证券账户及相关债权人指定证券账户</w:t>
      </w:r>
      <w:r w:rsidR="00723A80">
        <w:rPr>
          <w:rFonts w:ascii="宋体" w:hAnsi="宋体" w:hint="eastAsia"/>
          <w:sz w:val="24"/>
        </w:rPr>
        <w:t>。</w:t>
      </w:r>
    </w:p>
    <w:p w:rsidR="00A720CC" w:rsidRPr="00CD6599" w:rsidRDefault="00500719" w:rsidP="00A720CC">
      <w:pPr>
        <w:tabs>
          <w:tab w:val="left" w:pos="3240"/>
        </w:tabs>
        <w:spacing w:line="360" w:lineRule="auto"/>
        <w:ind w:firstLineChars="200" w:firstLine="480"/>
        <w:rPr>
          <w:rFonts w:ascii="宋体" w:hAnsi="宋体"/>
          <w:sz w:val="24"/>
        </w:rPr>
      </w:pPr>
      <w:r>
        <w:rPr>
          <w:rFonts w:ascii="宋体" w:hAnsi="宋体"/>
          <w:sz w:val="24"/>
        </w:rPr>
        <w:t>3</w:t>
      </w:r>
      <w:r w:rsidR="006C6E61" w:rsidRPr="00CD6599">
        <w:rPr>
          <w:rFonts w:ascii="宋体" w:hAnsi="宋体" w:hint="eastAsia"/>
          <w:sz w:val="24"/>
        </w:rPr>
        <w:t>、</w:t>
      </w:r>
      <w:r w:rsidR="00A720CC" w:rsidRPr="00CD6599">
        <w:rPr>
          <w:rFonts w:ascii="宋体" w:hAnsi="宋体" w:hint="eastAsia"/>
          <w:sz w:val="24"/>
        </w:rPr>
        <w:t>目前，公司仍被实施退市风险警示及其他风险警示</w:t>
      </w:r>
      <w:r w:rsidR="00A720CC">
        <w:rPr>
          <w:rFonts w:ascii="宋体" w:hAnsi="宋体" w:hint="eastAsia"/>
          <w:sz w:val="24"/>
        </w:rPr>
        <w:t>（</w:t>
      </w:r>
      <w:r w:rsidR="00A720CC" w:rsidRPr="00CD6599">
        <w:rPr>
          <w:rFonts w:ascii="宋体" w:hAnsi="宋体" w:hint="eastAsia"/>
          <w:sz w:val="24"/>
        </w:rPr>
        <w:t>详见</w:t>
      </w:r>
      <w:r w:rsidR="00A720CC">
        <w:rPr>
          <w:rFonts w:ascii="宋体" w:hAnsi="宋体" w:hint="eastAsia"/>
          <w:sz w:val="24"/>
        </w:rPr>
        <w:t>公告2</w:t>
      </w:r>
      <w:r w:rsidR="00A720CC">
        <w:rPr>
          <w:rFonts w:ascii="宋体" w:hAnsi="宋体"/>
          <w:sz w:val="24"/>
        </w:rPr>
        <w:t>025</w:t>
      </w:r>
      <w:r w:rsidR="00A720CC">
        <w:rPr>
          <w:rFonts w:ascii="宋体" w:hAnsi="宋体" w:hint="eastAsia"/>
          <w:sz w:val="24"/>
        </w:rPr>
        <w:t>-</w:t>
      </w:r>
      <w:r w:rsidR="00A720CC">
        <w:rPr>
          <w:rFonts w:ascii="宋体" w:hAnsi="宋体"/>
          <w:sz w:val="24"/>
        </w:rPr>
        <w:t>003</w:t>
      </w:r>
      <w:r w:rsidR="00A720CC">
        <w:rPr>
          <w:rFonts w:ascii="宋体" w:hAnsi="宋体" w:hint="eastAsia"/>
          <w:sz w:val="24"/>
        </w:rPr>
        <w:t>）。</w:t>
      </w:r>
    </w:p>
    <w:p w:rsidR="006C6E61" w:rsidRPr="00CD6599" w:rsidRDefault="006C6E61" w:rsidP="00440420">
      <w:pPr>
        <w:tabs>
          <w:tab w:val="left" w:pos="3240"/>
        </w:tabs>
        <w:spacing w:line="360" w:lineRule="auto"/>
        <w:rPr>
          <w:rFonts w:ascii="宋体" w:hAnsi="宋体"/>
          <w:sz w:val="24"/>
        </w:rPr>
      </w:pPr>
      <w:r w:rsidRPr="00CD6599">
        <w:rPr>
          <w:rFonts w:ascii="宋体" w:hAnsi="宋体" w:hint="eastAsia"/>
          <w:sz w:val="24"/>
        </w:rPr>
        <w:t>2024年</w:t>
      </w:r>
      <w:r w:rsidR="00847E87" w:rsidRPr="00CD6599">
        <w:rPr>
          <w:rFonts w:ascii="宋体" w:hAnsi="宋体" w:hint="eastAsia"/>
          <w:sz w:val="24"/>
        </w:rPr>
        <w:t>公司</w:t>
      </w:r>
      <w:r w:rsidRPr="00CD6599">
        <w:rPr>
          <w:rFonts w:ascii="宋体" w:hAnsi="宋体" w:hint="eastAsia"/>
          <w:sz w:val="24"/>
        </w:rPr>
        <w:t>重整计划</w:t>
      </w:r>
      <w:r w:rsidR="00847E87">
        <w:rPr>
          <w:rFonts w:ascii="宋体" w:hAnsi="宋体" w:hint="eastAsia"/>
          <w:sz w:val="24"/>
        </w:rPr>
        <w:t>已</w:t>
      </w:r>
      <w:r w:rsidRPr="00CD6599">
        <w:rPr>
          <w:rFonts w:ascii="宋体" w:hAnsi="宋体" w:hint="eastAsia"/>
          <w:sz w:val="24"/>
        </w:rPr>
        <w:t>执行完毕，</w:t>
      </w:r>
      <w:r w:rsidR="00723A80">
        <w:rPr>
          <w:rFonts w:ascii="宋体" w:hAnsi="宋体" w:hint="eastAsia"/>
          <w:sz w:val="24"/>
        </w:rPr>
        <w:t>预计</w:t>
      </w:r>
      <w:r w:rsidRPr="00CD6599">
        <w:rPr>
          <w:rFonts w:ascii="宋体" w:hAnsi="宋体" w:hint="eastAsia"/>
          <w:sz w:val="24"/>
        </w:rPr>
        <w:t>公司2024年度期末净资产将为正值；原涉及的合规性问题已全部化解。公司将于 2024年年度报告披露后向深圳证券交易所申请撤销的“退市风险警示”及《深圳证券交易所股票上市规则（2024年</w:t>
      </w:r>
      <w:r w:rsidRPr="00CD6599">
        <w:rPr>
          <w:rFonts w:ascii="宋体" w:hAnsi="宋体" w:hint="eastAsia"/>
          <w:sz w:val="24"/>
        </w:rPr>
        <w:lastRenderedPageBreak/>
        <w:t>修订）》9.8.1第（四）项、第（七）项涉及的“其他风险警示”。公司会分别在年度报告预约披露日前二十个交易日和</w:t>
      </w:r>
      <w:r w:rsidR="00440420">
        <w:rPr>
          <w:rFonts w:ascii="宋体" w:hAnsi="宋体" w:hint="eastAsia"/>
          <w:sz w:val="24"/>
        </w:rPr>
        <w:t>前</w:t>
      </w:r>
      <w:r w:rsidRPr="00CD6599">
        <w:rPr>
          <w:rFonts w:ascii="宋体" w:hAnsi="宋体" w:hint="eastAsia"/>
          <w:sz w:val="24"/>
        </w:rPr>
        <w:t>十个交易日，披露年度报告编制及最新审计进展情况，充分提示风险。</w:t>
      </w:r>
      <w:r w:rsidR="00847E87">
        <w:rPr>
          <w:rFonts w:ascii="宋体" w:hAnsi="宋体" w:hint="eastAsia"/>
          <w:sz w:val="24"/>
        </w:rPr>
        <w:t xml:space="preserve"> </w:t>
      </w:r>
    </w:p>
    <w:p w:rsidR="006C6E61" w:rsidRPr="00CD6599" w:rsidRDefault="006C6E61" w:rsidP="004F27AB">
      <w:pPr>
        <w:tabs>
          <w:tab w:val="left" w:pos="3240"/>
        </w:tabs>
        <w:spacing w:line="360" w:lineRule="auto"/>
        <w:ind w:firstLineChars="200" w:firstLine="480"/>
        <w:rPr>
          <w:rFonts w:ascii="宋体" w:hAnsi="宋体"/>
          <w:sz w:val="24"/>
        </w:rPr>
      </w:pPr>
    </w:p>
    <w:p w:rsidR="00B957C9" w:rsidRPr="00CD6599" w:rsidRDefault="00B957C9" w:rsidP="00B957C9">
      <w:pPr>
        <w:spacing w:line="360" w:lineRule="auto"/>
        <w:ind w:firstLineChars="200" w:firstLine="480"/>
        <w:rPr>
          <w:rStyle w:val="fontstyle01"/>
          <w:rFonts w:hint="default"/>
          <w:sz w:val="24"/>
          <w:szCs w:val="24"/>
        </w:rPr>
      </w:pPr>
      <w:r w:rsidRPr="00AA3A8C">
        <w:rPr>
          <w:rFonts w:ascii="宋体" w:cs="宋体" w:hint="eastAsia"/>
          <w:color w:val="000000"/>
          <w:kern w:val="0"/>
          <w:sz w:val="24"/>
        </w:rPr>
        <w:t>公司指定信息披露媒体为</w:t>
      </w:r>
      <w:r w:rsidR="00A06564">
        <w:rPr>
          <w:rFonts w:ascii="宋体" w:cs="宋体" w:hint="eastAsia"/>
          <w:color w:val="000000"/>
          <w:kern w:val="0"/>
          <w:sz w:val="24"/>
        </w:rPr>
        <w:t>《证券时报》</w:t>
      </w:r>
      <w:r w:rsidR="000969F6">
        <w:rPr>
          <w:rFonts w:ascii="宋体" w:cs="宋体" w:hint="eastAsia"/>
          <w:color w:val="000000"/>
          <w:kern w:val="0"/>
          <w:sz w:val="24"/>
        </w:rPr>
        <w:t>《证券日报》</w:t>
      </w:r>
      <w:r w:rsidRPr="00AA3A8C">
        <w:rPr>
          <w:rFonts w:ascii="宋体" w:cs="宋体" w:hint="eastAsia"/>
          <w:color w:val="000000"/>
          <w:kern w:val="0"/>
          <w:sz w:val="24"/>
        </w:rPr>
        <w:t>《上海证券报》和巨潮资讯网（www.cninfo.com.cn)，公司所有信息均以在上述指定媒体刊登的信息为准。</w:t>
      </w:r>
      <w:r w:rsidRPr="007626B7">
        <w:rPr>
          <w:rFonts w:ascii="宋体" w:cs="宋体"/>
          <w:color w:val="000000"/>
          <w:kern w:val="0"/>
          <w:sz w:val="24"/>
        </w:rPr>
        <w:t>敬请广大投资者理性投资，注意投资风险。</w:t>
      </w:r>
    </w:p>
    <w:p w:rsidR="004F27AB" w:rsidRDefault="004F27AB" w:rsidP="004F27AB">
      <w:pPr>
        <w:spacing w:line="360" w:lineRule="auto"/>
        <w:ind w:firstLineChars="200" w:firstLine="640"/>
        <w:rPr>
          <w:rFonts w:ascii="仿宋" w:eastAsia="仿宋" w:hAnsi="仿宋"/>
          <w:sz w:val="32"/>
          <w:szCs w:val="32"/>
        </w:rPr>
      </w:pPr>
    </w:p>
    <w:p w:rsidR="006A2333" w:rsidRDefault="006A2333" w:rsidP="004F27AB">
      <w:pPr>
        <w:spacing w:line="360" w:lineRule="auto"/>
        <w:ind w:firstLineChars="200" w:firstLine="480"/>
        <w:rPr>
          <w:rStyle w:val="fontstyle01"/>
          <w:rFonts w:hint="default"/>
          <w:sz w:val="24"/>
        </w:rPr>
      </w:pPr>
      <w:r w:rsidRPr="009C3952">
        <w:rPr>
          <w:rStyle w:val="fontstyle01"/>
          <w:rFonts w:hint="default"/>
          <w:sz w:val="24"/>
        </w:rPr>
        <w:t>特此公告。</w:t>
      </w:r>
    </w:p>
    <w:p w:rsidR="00BB47C5" w:rsidRDefault="00BB47C5" w:rsidP="009C3952">
      <w:pPr>
        <w:spacing w:line="360" w:lineRule="auto"/>
        <w:ind w:firstLineChars="200" w:firstLine="480"/>
        <w:rPr>
          <w:rStyle w:val="fontstyle01"/>
          <w:rFonts w:hint="default"/>
          <w:sz w:val="24"/>
        </w:rPr>
      </w:pPr>
    </w:p>
    <w:p w:rsidR="006A2333" w:rsidRPr="009C3952" w:rsidRDefault="006A2333" w:rsidP="009C3952">
      <w:pPr>
        <w:spacing w:line="360" w:lineRule="auto"/>
        <w:ind w:firstLineChars="200" w:firstLine="480"/>
        <w:jc w:val="right"/>
        <w:rPr>
          <w:color w:val="000000"/>
          <w:sz w:val="24"/>
          <w:szCs w:val="28"/>
        </w:rPr>
      </w:pPr>
      <w:r w:rsidRPr="009C3952">
        <w:rPr>
          <w:rStyle w:val="fontstyle01"/>
          <w:rFonts w:hint="default"/>
          <w:sz w:val="24"/>
        </w:rPr>
        <w:t>江苏中利集团股份有限公司董事会</w:t>
      </w:r>
    </w:p>
    <w:p w:rsidR="00425037" w:rsidRPr="009C3952" w:rsidRDefault="006A2333" w:rsidP="009C3952">
      <w:pPr>
        <w:spacing w:line="360" w:lineRule="auto"/>
        <w:ind w:firstLineChars="200" w:firstLine="480"/>
        <w:jc w:val="right"/>
        <w:rPr>
          <w:rFonts w:ascii="宋体" w:hAnsi="宋体"/>
          <w:color w:val="000000"/>
          <w:sz w:val="24"/>
          <w:szCs w:val="28"/>
        </w:rPr>
      </w:pPr>
      <w:r w:rsidRPr="006F0D32">
        <w:rPr>
          <w:rStyle w:val="fontstyle01"/>
          <w:rFonts w:hint="default"/>
          <w:sz w:val="24"/>
        </w:rPr>
        <w:t>202</w:t>
      </w:r>
      <w:r w:rsidR="00605818">
        <w:rPr>
          <w:rStyle w:val="fontstyle01"/>
          <w:rFonts w:hint="default"/>
          <w:sz w:val="24"/>
        </w:rPr>
        <w:t>5</w:t>
      </w:r>
      <w:r w:rsidRPr="006F0D32">
        <w:rPr>
          <w:rStyle w:val="fontstyle01"/>
          <w:rFonts w:hint="default"/>
          <w:sz w:val="24"/>
        </w:rPr>
        <w:t>年</w:t>
      </w:r>
      <w:r w:rsidR="00605818">
        <w:rPr>
          <w:rStyle w:val="fontstyle01"/>
          <w:rFonts w:hint="default"/>
          <w:sz w:val="24"/>
        </w:rPr>
        <w:t>1</w:t>
      </w:r>
      <w:r w:rsidRPr="006F0D32">
        <w:rPr>
          <w:rStyle w:val="fontstyle01"/>
          <w:rFonts w:hint="default"/>
          <w:sz w:val="24"/>
        </w:rPr>
        <w:t>月</w:t>
      </w:r>
      <w:r w:rsidR="00D4052D">
        <w:rPr>
          <w:rStyle w:val="fontstyle01"/>
          <w:rFonts w:hint="default"/>
          <w:sz w:val="24"/>
        </w:rPr>
        <w:t>24</w:t>
      </w:r>
      <w:r w:rsidRPr="006F0D32">
        <w:rPr>
          <w:rStyle w:val="fontstyle01"/>
          <w:rFonts w:hint="default"/>
          <w:sz w:val="24"/>
        </w:rPr>
        <w:t>日</w:t>
      </w:r>
    </w:p>
    <w:sectPr w:rsidR="00425037" w:rsidRPr="009C395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8D0" w:rsidRDefault="00C448D0" w:rsidP="00365AAE">
      <w:r>
        <w:separator/>
      </w:r>
    </w:p>
  </w:endnote>
  <w:endnote w:type="continuationSeparator" w:id="0">
    <w:p w:rsidR="00C448D0" w:rsidRDefault="00C448D0"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3A" w:rsidRDefault="000D093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46C3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46C3F">
      <w:rPr>
        <w:b/>
        <w:bCs/>
        <w:noProof/>
      </w:rPr>
      <w:t>3</w:t>
    </w:r>
    <w:r>
      <w:rPr>
        <w:b/>
        <w:bCs/>
        <w:sz w:val="24"/>
        <w:szCs w:val="24"/>
      </w:rPr>
      <w:fldChar w:fldCharType="end"/>
    </w:r>
  </w:p>
  <w:p w:rsidR="000D093A" w:rsidRDefault="000D093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8D0" w:rsidRDefault="00C448D0" w:rsidP="00365AAE">
      <w:r>
        <w:separator/>
      </w:r>
    </w:p>
  </w:footnote>
  <w:footnote w:type="continuationSeparator" w:id="0">
    <w:p w:rsidR="00C448D0" w:rsidRDefault="00C448D0" w:rsidP="00365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23D29"/>
    <w:multiLevelType w:val="hybridMultilevel"/>
    <w:tmpl w:val="F47E477A"/>
    <w:lvl w:ilvl="0" w:tplc="F5E6044A">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7"/>
  </w:num>
  <w:num w:numId="4">
    <w:abstractNumId w:val="5"/>
  </w:num>
  <w:num w:numId="5">
    <w:abstractNumId w:val="3"/>
  </w:num>
  <w:num w:numId="6">
    <w:abstractNumId w:val="10"/>
  </w:num>
  <w:num w:numId="7">
    <w:abstractNumId w:val="6"/>
  </w:num>
  <w:num w:numId="8">
    <w:abstractNumId w:val="8"/>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0BFB"/>
    <w:rsid w:val="00001512"/>
    <w:rsid w:val="00013AC7"/>
    <w:rsid w:val="00024635"/>
    <w:rsid w:val="00024D13"/>
    <w:rsid w:val="000250AB"/>
    <w:rsid w:val="00033D76"/>
    <w:rsid w:val="000347A5"/>
    <w:rsid w:val="000432B0"/>
    <w:rsid w:val="00043CD6"/>
    <w:rsid w:val="000576A8"/>
    <w:rsid w:val="0007458A"/>
    <w:rsid w:val="000769CF"/>
    <w:rsid w:val="00083194"/>
    <w:rsid w:val="00093408"/>
    <w:rsid w:val="000969F6"/>
    <w:rsid w:val="000A54F9"/>
    <w:rsid w:val="000A550D"/>
    <w:rsid w:val="000A5BC1"/>
    <w:rsid w:val="000B0A8F"/>
    <w:rsid w:val="000B4ECF"/>
    <w:rsid w:val="000B5F0F"/>
    <w:rsid w:val="000B7639"/>
    <w:rsid w:val="000C294D"/>
    <w:rsid w:val="000C53E7"/>
    <w:rsid w:val="000C78A7"/>
    <w:rsid w:val="000D093A"/>
    <w:rsid w:val="000D63C8"/>
    <w:rsid w:val="000E1BB7"/>
    <w:rsid w:val="000E3C80"/>
    <w:rsid w:val="000E7B4E"/>
    <w:rsid w:val="000F1686"/>
    <w:rsid w:val="000F6B8F"/>
    <w:rsid w:val="00102E93"/>
    <w:rsid w:val="00112EB6"/>
    <w:rsid w:val="00123252"/>
    <w:rsid w:val="00125ABF"/>
    <w:rsid w:val="00135B1D"/>
    <w:rsid w:val="00135DDD"/>
    <w:rsid w:val="00143A35"/>
    <w:rsid w:val="00147987"/>
    <w:rsid w:val="0016031C"/>
    <w:rsid w:val="00164CB6"/>
    <w:rsid w:val="0017044A"/>
    <w:rsid w:val="0017049B"/>
    <w:rsid w:val="00175CAA"/>
    <w:rsid w:val="00180456"/>
    <w:rsid w:val="00185EE5"/>
    <w:rsid w:val="00186327"/>
    <w:rsid w:val="001907FC"/>
    <w:rsid w:val="001956E0"/>
    <w:rsid w:val="001975BA"/>
    <w:rsid w:val="001A042B"/>
    <w:rsid w:val="001A1A4D"/>
    <w:rsid w:val="001A5847"/>
    <w:rsid w:val="001A717C"/>
    <w:rsid w:val="001A7602"/>
    <w:rsid w:val="001B07C8"/>
    <w:rsid w:val="001D3541"/>
    <w:rsid w:val="001D52E4"/>
    <w:rsid w:val="001D6663"/>
    <w:rsid w:val="001D6E0E"/>
    <w:rsid w:val="001D6FC5"/>
    <w:rsid w:val="001E7A7B"/>
    <w:rsid w:val="001F7AE7"/>
    <w:rsid w:val="0020589D"/>
    <w:rsid w:val="00207A9E"/>
    <w:rsid w:val="00210D61"/>
    <w:rsid w:val="00212706"/>
    <w:rsid w:val="00216D16"/>
    <w:rsid w:val="00220627"/>
    <w:rsid w:val="00223330"/>
    <w:rsid w:val="002253DA"/>
    <w:rsid w:val="00231B4B"/>
    <w:rsid w:val="00233725"/>
    <w:rsid w:val="00234D59"/>
    <w:rsid w:val="00245F86"/>
    <w:rsid w:val="00246C3F"/>
    <w:rsid w:val="00247C7C"/>
    <w:rsid w:val="00251CE4"/>
    <w:rsid w:val="002531E8"/>
    <w:rsid w:val="002628EC"/>
    <w:rsid w:val="00263AA3"/>
    <w:rsid w:val="00263CE1"/>
    <w:rsid w:val="00265F49"/>
    <w:rsid w:val="002675C8"/>
    <w:rsid w:val="00267AE0"/>
    <w:rsid w:val="00280A3E"/>
    <w:rsid w:val="00281706"/>
    <w:rsid w:val="00295F28"/>
    <w:rsid w:val="00296343"/>
    <w:rsid w:val="002968D5"/>
    <w:rsid w:val="002A286F"/>
    <w:rsid w:val="002A391F"/>
    <w:rsid w:val="002B57AC"/>
    <w:rsid w:val="002C0D97"/>
    <w:rsid w:val="002C1B5E"/>
    <w:rsid w:val="002C23A4"/>
    <w:rsid w:val="002D49AE"/>
    <w:rsid w:val="002D6A76"/>
    <w:rsid w:val="002D6DFF"/>
    <w:rsid w:val="002E2DD4"/>
    <w:rsid w:val="002E2DF9"/>
    <w:rsid w:val="002E44EB"/>
    <w:rsid w:val="00302106"/>
    <w:rsid w:val="003031CB"/>
    <w:rsid w:val="003032F4"/>
    <w:rsid w:val="003036A5"/>
    <w:rsid w:val="00306A1F"/>
    <w:rsid w:val="0031077F"/>
    <w:rsid w:val="00311383"/>
    <w:rsid w:val="003120B0"/>
    <w:rsid w:val="00312862"/>
    <w:rsid w:val="0031417B"/>
    <w:rsid w:val="00314315"/>
    <w:rsid w:val="00323C84"/>
    <w:rsid w:val="003264EB"/>
    <w:rsid w:val="00331F45"/>
    <w:rsid w:val="003328C8"/>
    <w:rsid w:val="003338F8"/>
    <w:rsid w:val="00333C15"/>
    <w:rsid w:val="003612B2"/>
    <w:rsid w:val="00362EB3"/>
    <w:rsid w:val="00365AAE"/>
    <w:rsid w:val="003669F8"/>
    <w:rsid w:val="00367FB1"/>
    <w:rsid w:val="003717CB"/>
    <w:rsid w:val="00383A17"/>
    <w:rsid w:val="0038416D"/>
    <w:rsid w:val="003863B3"/>
    <w:rsid w:val="003866DA"/>
    <w:rsid w:val="003872DB"/>
    <w:rsid w:val="003A3252"/>
    <w:rsid w:val="003A63F5"/>
    <w:rsid w:val="003B1946"/>
    <w:rsid w:val="003B694E"/>
    <w:rsid w:val="003C50BC"/>
    <w:rsid w:val="003D3122"/>
    <w:rsid w:val="003D3879"/>
    <w:rsid w:val="003E0608"/>
    <w:rsid w:val="003E12C3"/>
    <w:rsid w:val="003E5D48"/>
    <w:rsid w:val="003E7635"/>
    <w:rsid w:val="003F20BA"/>
    <w:rsid w:val="003F2578"/>
    <w:rsid w:val="003F514C"/>
    <w:rsid w:val="003F6060"/>
    <w:rsid w:val="00406CE2"/>
    <w:rsid w:val="004117E2"/>
    <w:rsid w:val="004146F9"/>
    <w:rsid w:val="0041799F"/>
    <w:rsid w:val="00421674"/>
    <w:rsid w:val="00423E11"/>
    <w:rsid w:val="00425037"/>
    <w:rsid w:val="00425FB6"/>
    <w:rsid w:val="00433E2E"/>
    <w:rsid w:val="00437434"/>
    <w:rsid w:val="004378B8"/>
    <w:rsid w:val="00440420"/>
    <w:rsid w:val="00445691"/>
    <w:rsid w:val="00452620"/>
    <w:rsid w:val="00455E72"/>
    <w:rsid w:val="00461993"/>
    <w:rsid w:val="004658F6"/>
    <w:rsid w:val="00465F50"/>
    <w:rsid w:val="00467DB6"/>
    <w:rsid w:val="00470876"/>
    <w:rsid w:val="0047792B"/>
    <w:rsid w:val="0048029E"/>
    <w:rsid w:val="004854F1"/>
    <w:rsid w:val="0049187F"/>
    <w:rsid w:val="004945A9"/>
    <w:rsid w:val="00495D28"/>
    <w:rsid w:val="004A2250"/>
    <w:rsid w:val="004A3D3D"/>
    <w:rsid w:val="004A4DAA"/>
    <w:rsid w:val="004A5CB8"/>
    <w:rsid w:val="004B5B71"/>
    <w:rsid w:val="004B6CA8"/>
    <w:rsid w:val="004B792E"/>
    <w:rsid w:val="004C46EC"/>
    <w:rsid w:val="004C7109"/>
    <w:rsid w:val="004E0C71"/>
    <w:rsid w:val="004E2052"/>
    <w:rsid w:val="004E7C8B"/>
    <w:rsid w:val="004F27AB"/>
    <w:rsid w:val="004F41FE"/>
    <w:rsid w:val="004F568C"/>
    <w:rsid w:val="004F5C8A"/>
    <w:rsid w:val="004F7E42"/>
    <w:rsid w:val="00500719"/>
    <w:rsid w:val="0050135F"/>
    <w:rsid w:val="00503EEC"/>
    <w:rsid w:val="00513020"/>
    <w:rsid w:val="00520C67"/>
    <w:rsid w:val="00521719"/>
    <w:rsid w:val="00523928"/>
    <w:rsid w:val="0052718C"/>
    <w:rsid w:val="00527F7D"/>
    <w:rsid w:val="00531DA8"/>
    <w:rsid w:val="0053744C"/>
    <w:rsid w:val="00541F8A"/>
    <w:rsid w:val="00545DFB"/>
    <w:rsid w:val="00547A65"/>
    <w:rsid w:val="0055390F"/>
    <w:rsid w:val="00554347"/>
    <w:rsid w:val="005610B8"/>
    <w:rsid w:val="00563CB0"/>
    <w:rsid w:val="00573A22"/>
    <w:rsid w:val="00576526"/>
    <w:rsid w:val="005775C1"/>
    <w:rsid w:val="005824BB"/>
    <w:rsid w:val="005856D8"/>
    <w:rsid w:val="00586BBC"/>
    <w:rsid w:val="00586C20"/>
    <w:rsid w:val="00587C53"/>
    <w:rsid w:val="005922DC"/>
    <w:rsid w:val="005933BD"/>
    <w:rsid w:val="005A028A"/>
    <w:rsid w:val="005A1F32"/>
    <w:rsid w:val="005A3806"/>
    <w:rsid w:val="005B3D2E"/>
    <w:rsid w:val="005C0ECE"/>
    <w:rsid w:val="005C2693"/>
    <w:rsid w:val="005C2B0F"/>
    <w:rsid w:val="005C3043"/>
    <w:rsid w:val="005C5878"/>
    <w:rsid w:val="005C6A4F"/>
    <w:rsid w:val="005C71C1"/>
    <w:rsid w:val="005D5267"/>
    <w:rsid w:val="005E0C1A"/>
    <w:rsid w:val="005E79A8"/>
    <w:rsid w:val="005F5FCB"/>
    <w:rsid w:val="005F6D86"/>
    <w:rsid w:val="005F73F3"/>
    <w:rsid w:val="0060503F"/>
    <w:rsid w:val="00605818"/>
    <w:rsid w:val="00606F1A"/>
    <w:rsid w:val="00613102"/>
    <w:rsid w:val="0061664C"/>
    <w:rsid w:val="0062480B"/>
    <w:rsid w:val="0063103E"/>
    <w:rsid w:val="0063282F"/>
    <w:rsid w:val="00633034"/>
    <w:rsid w:val="006333A9"/>
    <w:rsid w:val="00634469"/>
    <w:rsid w:val="00634F37"/>
    <w:rsid w:val="00640373"/>
    <w:rsid w:val="00643B05"/>
    <w:rsid w:val="00644570"/>
    <w:rsid w:val="006451DF"/>
    <w:rsid w:val="00645C57"/>
    <w:rsid w:val="00651304"/>
    <w:rsid w:val="00651E1E"/>
    <w:rsid w:val="006571EA"/>
    <w:rsid w:val="00672AF9"/>
    <w:rsid w:val="006743B8"/>
    <w:rsid w:val="00690238"/>
    <w:rsid w:val="00691C45"/>
    <w:rsid w:val="0069791A"/>
    <w:rsid w:val="006A1BB6"/>
    <w:rsid w:val="006A2333"/>
    <w:rsid w:val="006A3561"/>
    <w:rsid w:val="006B032A"/>
    <w:rsid w:val="006B4372"/>
    <w:rsid w:val="006B4990"/>
    <w:rsid w:val="006B49EC"/>
    <w:rsid w:val="006B5553"/>
    <w:rsid w:val="006B607D"/>
    <w:rsid w:val="006C151C"/>
    <w:rsid w:val="006C49AA"/>
    <w:rsid w:val="006C6E61"/>
    <w:rsid w:val="006D094F"/>
    <w:rsid w:val="006D25B5"/>
    <w:rsid w:val="006E3531"/>
    <w:rsid w:val="006E7E17"/>
    <w:rsid w:val="006F0D32"/>
    <w:rsid w:val="006F173C"/>
    <w:rsid w:val="006F217F"/>
    <w:rsid w:val="006F2597"/>
    <w:rsid w:val="006F49DD"/>
    <w:rsid w:val="00702905"/>
    <w:rsid w:val="00704317"/>
    <w:rsid w:val="00704637"/>
    <w:rsid w:val="00704E44"/>
    <w:rsid w:val="007064CD"/>
    <w:rsid w:val="00716150"/>
    <w:rsid w:val="007200D3"/>
    <w:rsid w:val="00722D1B"/>
    <w:rsid w:val="00723A80"/>
    <w:rsid w:val="0072630A"/>
    <w:rsid w:val="00726997"/>
    <w:rsid w:val="00733D34"/>
    <w:rsid w:val="00743696"/>
    <w:rsid w:val="0075521A"/>
    <w:rsid w:val="00756084"/>
    <w:rsid w:val="0076630D"/>
    <w:rsid w:val="00766BB2"/>
    <w:rsid w:val="00773204"/>
    <w:rsid w:val="007773C5"/>
    <w:rsid w:val="00784784"/>
    <w:rsid w:val="00790360"/>
    <w:rsid w:val="00790700"/>
    <w:rsid w:val="00791F0C"/>
    <w:rsid w:val="007A17D9"/>
    <w:rsid w:val="007A4512"/>
    <w:rsid w:val="007A55FA"/>
    <w:rsid w:val="007B0BB9"/>
    <w:rsid w:val="007C5AE7"/>
    <w:rsid w:val="007C5E5F"/>
    <w:rsid w:val="007C5E99"/>
    <w:rsid w:val="007D0F76"/>
    <w:rsid w:val="007D4ED1"/>
    <w:rsid w:val="007D602B"/>
    <w:rsid w:val="007D792E"/>
    <w:rsid w:val="007E6771"/>
    <w:rsid w:val="007F40E6"/>
    <w:rsid w:val="007F55BF"/>
    <w:rsid w:val="007F5D6B"/>
    <w:rsid w:val="007F7B9A"/>
    <w:rsid w:val="008043E7"/>
    <w:rsid w:val="008153EC"/>
    <w:rsid w:val="00821965"/>
    <w:rsid w:val="00822AC4"/>
    <w:rsid w:val="008254F2"/>
    <w:rsid w:val="00831B0E"/>
    <w:rsid w:val="008342AD"/>
    <w:rsid w:val="0083694D"/>
    <w:rsid w:val="00842494"/>
    <w:rsid w:val="00842B47"/>
    <w:rsid w:val="00843792"/>
    <w:rsid w:val="00847E87"/>
    <w:rsid w:val="00852CB3"/>
    <w:rsid w:val="00853892"/>
    <w:rsid w:val="00854E78"/>
    <w:rsid w:val="00860BA0"/>
    <w:rsid w:val="00861738"/>
    <w:rsid w:val="00862308"/>
    <w:rsid w:val="00865D7F"/>
    <w:rsid w:val="00870503"/>
    <w:rsid w:val="00870ECD"/>
    <w:rsid w:val="0087270A"/>
    <w:rsid w:val="008736CE"/>
    <w:rsid w:val="0087428D"/>
    <w:rsid w:val="00891ACF"/>
    <w:rsid w:val="008A30E5"/>
    <w:rsid w:val="008A79C5"/>
    <w:rsid w:val="008B36F4"/>
    <w:rsid w:val="008C0BC1"/>
    <w:rsid w:val="008C5E4E"/>
    <w:rsid w:val="008C756F"/>
    <w:rsid w:val="008D0BFE"/>
    <w:rsid w:val="008D1D9F"/>
    <w:rsid w:val="008D278A"/>
    <w:rsid w:val="008D37C6"/>
    <w:rsid w:val="008D42ED"/>
    <w:rsid w:val="008E1EC2"/>
    <w:rsid w:val="008E3F8B"/>
    <w:rsid w:val="008F00D9"/>
    <w:rsid w:val="008F276B"/>
    <w:rsid w:val="00902319"/>
    <w:rsid w:val="00903D2B"/>
    <w:rsid w:val="009124B8"/>
    <w:rsid w:val="00915875"/>
    <w:rsid w:val="009165A3"/>
    <w:rsid w:val="00932D42"/>
    <w:rsid w:val="0093485B"/>
    <w:rsid w:val="00952504"/>
    <w:rsid w:val="00956DF0"/>
    <w:rsid w:val="00957D39"/>
    <w:rsid w:val="009632AF"/>
    <w:rsid w:val="00963B44"/>
    <w:rsid w:val="00977E68"/>
    <w:rsid w:val="00985CB4"/>
    <w:rsid w:val="00987D2C"/>
    <w:rsid w:val="009B1370"/>
    <w:rsid w:val="009C319E"/>
    <w:rsid w:val="009C3952"/>
    <w:rsid w:val="009D0CE8"/>
    <w:rsid w:val="009D3440"/>
    <w:rsid w:val="009D52B6"/>
    <w:rsid w:val="009D7CB9"/>
    <w:rsid w:val="009D7D39"/>
    <w:rsid w:val="009E56D2"/>
    <w:rsid w:val="009F5D3A"/>
    <w:rsid w:val="009F7C2C"/>
    <w:rsid w:val="009F7C3E"/>
    <w:rsid w:val="00A02D58"/>
    <w:rsid w:val="00A03D4A"/>
    <w:rsid w:val="00A05DD6"/>
    <w:rsid w:val="00A06564"/>
    <w:rsid w:val="00A12A8E"/>
    <w:rsid w:val="00A13C20"/>
    <w:rsid w:val="00A219B2"/>
    <w:rsid w:val="00A24BE8"/>
    <w:rsid w:val="00A26F28"/>
    <w:rsid w:val="00A40235"/>
    <w:rsid w:val="00A5096C"/>
    <w:rsid w:val="00A54BF0"/>
    <w:rsid w:val="00A55B49"/>
    <w:rsid w:val="00A57793"/>
    <w:rsid w:val="00A57BAB"/>
    <w:rsid w:val="00A60865"/>
    <w:rsid w:val="00A65904"/>
    <w:rsid w:val="00A67636"/>
    <w:rsid w:val="00A67DC4"/>
    <w:rsid w:val="00A720CC"/>
    <w:rsid w:val="00A83D66"/>
    <w:rsid w:val="00A85130"/>
    <w:rsid w:val="00A86A09"/>
    <w:rsid w:val="00A90B22"/>
    <w:rsid w:val="00A9200B"/>
    <w:rsid w:val="00A9440C"/>
    <w:rsid w:val="00A94669"/>
    <w:rsid w:val="00A9534A"/>
    <w:rsid w:val="00A9534D"/>
    <w:rsid w:val="00A96C4F"/>
    <w:rsid w:val="00A978B6"/>
    <w:rsid w:val="00AA6E8A"/>
    <w:rsid w:val="00AB37C7"/>
    <w:rsid w:val="00AB487A"/>
    <w:rsid w:val="00AB5A79"/>
    <w:rsid w:val="00AC2D50"/>
    <w:rsid w:val="00AD1DBC"/>
    <w:rsid w:val="00AD39A9"/>
    <w:rsid w:val="00AE0AAF"/>
    <w:rsid w:val="00AF0843"/>
    <w:rsid w:val="00AF3D51"/>
    <w:rsid w:val="00AF6EC1"/>
    <w:rsid w:val="00AF78DF"/>
    <w:rsid w:val="00B1367F"/>
    <w:rsid w:val="00B160FE"/>
    <w:rsid w:val="00B2269F"/>
    <w:rsid w:val="00B26B6D"/>
    <w:rsid w:val="00B27726"/>
    <w:rsid w:val="00B30E06"/>
    <w:rsid w:val="00B3519F"/>
    <w:rsid w:val="00B44726"/>
    <w:rsid w:val="00B53D7F"/>
    <w:rsid w:val="00B54E54"/>
    <w:rsid w:val="00B5539B"/>
    <w:rsid w:val="00B644E3"/>
    <w:rsid w:val="00B6452E"/>
    <w:rsid w:val="00B65549"/>
    <w:rsid w:val="00B716EF"/>
    <w:rsid w:val="00B76143"/>
    <w:rsid w:val="00B77699"/>
    <w:rsid w:val="00B80D98"/>
    <w:rsid w:val="00B864F9"/>
    <w:rsid w:val="00B911F6"/>
    <w:rsid w:val="00B957C9"/>
    <w:rsid w:val="00BB3940"/>
    <w:rsid w:val="00BB47C5"/>
    <w:rsid w:val="00BC0112"/>
    <w:rsid w:val="00BC53B6"/>
    <w:rsid w:val="00BC7643"/>
    <w:rsid w:val="00BD0220"/>
    <w:rsid w:val="00BD0B3F"/>
    <w:rsid w:val="00BD0BEB"/>
    <w:rsid w:val="00BD2A5E"/>
    <w:rsid w:val="00BD70F4"/>
    <w:rsid w:val="00BD71E3"/>
    <w:rsid w:val="00BE5CD2"/>
    <w:rsid w:val="00BE711F"/>
    <w:rsid w:val="00BE7F4E"/>
    <w:rsid w:val="00BF24A9"/>
    <w:rsid w:val="00BF43D2"/>
    <w:rsid w:val="00BF7989"/>
    <w:rsid w:val="00BF7CE8"/>
    <w:rsid w:val="00C049C3"/>
    <w:rsid w:val="00C052CE"/>
    <w:rsid w:val="00C0550D"/>
    <w:rsid w:val="00C07F42"/>
    <w:rsid w:val="00C15A52"/>
    <w:rsid w:val="00C34158"/>
    <w:rsid w:val="00C40435"/>
    <w:rsid w:val="00C40984"/>
    <w:rsid w:val="00C448D0"/>
    <w:rsid w:val="00C46BFF"/>
    <w:rsid w:val="00C51A6B"/>
    <w:rsid w:val="00C56138"/>
    <w:rsid w:val="00C563BD"/>
    <w:rsid w:val="00C63E6E"/>
    <w:rsid w:val="00C70AD5"/>
    <w:rsid w:val="00C74D4B"/>
    <w:rsid w:val="00C832A9"/>
    <w:rsid w:val="00C86B77"/>
    <w:rsid w:val="00C877C7"/>
    <w:rsid w:val="00C94C6A"/>
    <w:rsid w:val="00CA3E46"/>
    <w:rsid w:val="00CB013F"/>
    <w:rsid w:val="00CB65AF"/>
    <w:rsid w:val="00CC2D16"/>
    <w:rsid w:val="00CC70FA"/>
    <w:rsid w:val="00CC718D"/>
    <w:rsid w:val="00CD6599"/>
    <w:rsid w:val="00CD7B0B"/>
    <w:rsid w:val="00CE3AEB"/>
    <w:rsid w:val="00CE468B"/>
    <w:rsid w:val="00CF26BF"/>
    <w:rsid w:val="00CF3596"/>
    <w:rsid w:val="00CF4181"/>
    <w:rsid w:val="00D00C3B"/>
    <w:rsid w:val="00D04A4B"/>
    <w:rsid w:val="00D25C49"/>
    <w:rsid w:val="00D27481"/>
    <w:rsid w:val="00D27499"/>
    <w:rsid w:val="00D4052D"/>
    <w:rsid w:val="00D43057"/>
    <w:rsid w:val="00D51AED"/>
    <w:rsid w:val="00D5205B"/>
    <w:rsid w:val="00D545CB"/>
    <w:rsid w:val="00D60195"/>
    <w:rsid w:val="00D62C9A"/>
    <w:rsid w:val="00D73335"/>
    <w:rsid w:val="00D7340A"/>
    <w:rsid w:val="00D75749"/>
    <w:rsid w:val="00D81FBD"/>
    <w:rsid w:val="00D83BF1"/>
    <w:rsid w:val="00D94B51"/>
    <w:rsid w:val="00DA40D5"/>
    <w:rsid w:val="00DB7F13"/>
    <w:rsid w:val="00DC221E"/>
    <w:rsid w:val="00DC26D5"/>
    <w:rsid w:val="00DC3FF0"/>
    <w:rsid w:val="00DC5D03"/>
    <w:rsid w:val="00DC6FE0"/>
    <w:rsid w:val="00DC73A3"/>
    <w:rsid w:val="00DD7335"/>
    <w:rsid w:val="00DE37DE"/>
    <w:rsid w:val="00DE5FB5"/>
    <w:rsid w:val="00E17E25"/>
    <w:rsid w:val="00E30BF7"/>
    <w:rsid w:val="00E35317"/>
    <w:rsid w:val="00E36BA5"/>
    <w:rsid w:val="00E40C2D"/>
    <w:rsid w:val="00E52D18"/>
    <w:rsid w:val="00E62DEC"/>
    <w:rsid w:val="00E6661F"/>
    <w:rsid w:val="00E66F65"/>
    <w:rsid w:val="00E67077"/>
    <w:rsid w:val="00E671CE"/>
    <w:rsid w:val="00E67D35"/>
    <w:rsid w:val="00E710C1"/>
    <w:rsid w:val="00E7312A"/>
    <w:rsid w:val="00E73FE8"/>
    <w:rsid w:val="00E80F47"/>
    <w:rsid w:val="00E82081"/>
    <w:rsid w:val="00E871CA"/>
    <w:rsid w:val="00E87EE9"/>
    <w:rsid w:val="00E95AE3"/>
    <w:rsid w:val="00EB0689"/>
    <w:rsid w:val="00EB5439"/>
    <w:rsid w:val="00EB7F7E"/>
    <w:rsid w:val="00EC19F4"/>
    <w:rsid w:val="00EC336A"/>
    <w:rsid w:val="00EC5C63"/>
    <w:rsid w:val="00ED3854"/>
    <w:rsid w:val="00ED6097"/>
    <w:rsid w:val="00EE04A3"/>
    <w:rsid w:val="00EE58BB"/>
    <w:rsid w:val="00EF26CA"/>
    <w:rsid w:val="00EF3557"/>
    <w:rsid w:val="00EF3770"/>
    <w:rsid w:val="00F0137E"/>
    <w:rsid w:val="00F0189C"/>
    <w:rsid w:val="00F02945"/>
    <w:rsid w:val="00F04DFB"/>
    <w:rsid w:val="00F06D9A"/>
    <w:rsid w:val="00F0730A"/>
    <w:rsid w:val="00F07483"/>
    <w:rsid w:val="00F10D17"/>
    <w:rsid w:val="00F11A44"/>
    <w:rsid w:val="00F11A6F"/>
    <w:rsid w:val="00F11F1A"/>
    <w:rsid w:val="00F12604"/>
    <w:rsid w:val="00F20709"/>
    <w:rsid w:val="00F35C7E"/>
    <w:rsid w:val="00F36048"/>
    <w:rsid w:val="00F4413F"/>
    <w:rsid w:val="00F44700"/>
    <w:rsid w:val="00F44FAB"/>
    <w:rsid w:val="00F531EB"/>
    <w:rsid w:val="00F54BB3"/>
    <w:rsid w:val="00F56A5C"/>
    <w:rsid w:val="00F608EE"/>
    <w:rsid w:val="00F713A5"/>
    <w:rsid w:val="00F74ECD"/>
    <w:rsid w:val="00F77EAC"/>
    <w:rsid w:val="00F8275E"/>
    <w:rsid w:val="00F82FAF"/>
    <w:rsid w:val="00F83168"/>
    <w:rsid w:val="00F90F6F"/>
    <w:rsid w:val="00F95ED2"/>
    <w:rsid w:val="00F977BF"/>
    <w:rsid w:val="00FA0278"/>
    <w:rsid w:val="00FA0A05"/>
    <w:rsid w:val="00FA4B4B"/>
    <w:rsid w:val="00FA5693"/>
    <w:rsid w:val="00FB0860"/>
    <w:rsid w:val="00FB0A8D"/>
    <w:rsid w:val="00FB2225"/>
    <w:rsid w:val="00FB6A74"/>
    <w:rsid w:val="00FC234B"/>
    <w:rsid w:val="00FC3C77"/>
    <w:rsid w:val="00FD051C"/>
    <w:rsid w:val="00FE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4D7181-4B5A-494C-A01E-590C3032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6EC"/>
    <w:pPr>
      <w:widowControl w:val="0"/>
      <w:jc w:val="both"/>
    </w:pPr>
    <w:rPr>
      <w:rFonts w:ascii="Times New Roman" w:hAnsi="Times New Roman"/>
      <w:kern w:val="2"/>
      <w:sz w:val="21"/>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4">
    <w:name w:val="页眉 字符"/>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Calibri" w:hAnsi="Calibri"/>
      <w:sz w:val="18"/>
      <w:szCs w:val="18"/>
    </w:rPr>
  </w:style>
  <w:style w:type="character" w:customStyle="1" w:styleId="a6">
    <w:name w:val="页脚 字符"/>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uiPriority w:val="99"/>
    <w:unhideWhenUsed/>
    <w:rsid w:val="00425037"/>
    <w:rPr>
      <w:color w:val="0000FF"/>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cs="宋体"/>
      <w:color w:val="000000"/>
      <w:sz w:val="24"/>
      <w:szCs w:val="24"/>
    </w:rPr>
  </w:style>
  <w:style w:type="character" w:customStyle="1" w:styleId="10">
    <w:name w:val="标题 1 字符"/>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6A2333"/>
    <w:rPr>
      <w:rFonts w:ascii="宋体" w:eastAsia="宋体" w:hAnsi="宋体" w:hint="eastAsia"/>
      <w:b w:val="0"/>
      <w:bCs w:val="0"/>
      <w:i w:val="0"/>
      <w:iCs w:val="0"/>
      <w:color w:val="000000"/>
      <w:sz w:val="28"/>
      <w:szCs w:val="28"/>
    </w:rPr>
  </w:style>
  <w:style w:type="character" w:customStyle="1" w:styleId="fontstyle21">
    <w:name w:val="fontstyle21"/>
    <w:rsid w:val="006A2333"/>
    <w:rPr>
      <w:rFonts w:ascii="Calibri" w:hAnsi="Calibri" w:cs="Calibri" w:hint="default"/>
      <w:b/>
      <w:bCs/>
      <w:i w:val="0"/>
      <w:iCs w:val="0"/>
      <w:color w:val="000000"/>
      <w:sz w:val="18"/>
      <w:szCs w:val="18"/>
    </w:rPr>
  </w:style>
  <w:style w:type="character" w:customStyle="1" w:styleId="fontstyle31">
    <w:name w:val="fontstyle31"/>
    <w:rsid w:val="006A2333"/>
    <w:rPr>
      <w:rFonts w:ascii="Calibri" w:hAnsi="Calibri" w:cs="Calibri" w:hint="default"/>
      <w:b w:val="0"/>
      <w:bCs w:val="0"/>
      <w:i w:val="0"/>
      <w:iCs w:val="0"/>
      <w:color w:val="000000"/>
      <w:sz w:val="18"/>
      <w:szCs w:val="18"/>
    </w:rPr>
  </w:style>
  <w:style w:type="character" w:customStyle="1" w:styleId="fontstyle41">
    <w:name w:val="fontstyle41"/>
    <w:rsid w:val="006A2333"/>
    <w:rPr>
      <w:rFonts w:ascii="Times New Roman" w:hAnsi="Times New Roman" w:cs="Times New Roman" w:hint="default"/>
      <w:b w:val="0"/>
      <w:bCs w:val="0"/>
      <w:i w:val="0"/>
      <w:iCs w:val="0"/>
      <w:color w:val="000000"/>
      <w:sz w:val="28"/>
      <w:szCs w:val="28"/>
    </w:rPr>
  </w:style>
  <w:style w:type="paragraph" w:styleId="ac">
    <w:name w:val="No Spacing"/>
    <w:link w:val="ad"/>
    <w:uiPriority w:val="1"/>
    <w:qFormat/>
    <w:rsid w:val="00A9200B"/>
    <w:rPr>
      <w:sz w:val="22"/>
      <w:szCs w:val="22"/>
    </w:rPr>
  </w:style>
  <w:style w:type="character" w:customStyle="1" w:styleId="ad">
    <w:name w:val="无间隔 字符"/>
    <w:link w:val="ac"/>
    <w:uiPriority w:val="1"/>
    <w:rsid w:val="00A9200B"/>
    <w:rPr>
      <w:rFonts w:ascii="Calibri" w:eastAsia="宋体" w:hAnsi="Calibri" w:cs="Times New Roman"/>
      <w:kern w:val="0"/>
      <w:sz w:val="22"/>
    </w:rPr>
  </w:style>
  <w:style w:type="character" w:styleId="ae">
    <w:name w:val="annotation reference"/>
    <w:uiPriority w:val="99"/>
    <w:semiHidden/>
    <w:unhideWhenUsed/>
    <w:rsid w:val="001D6663"/>
    <w:rPr>
      <w:sz w:val="21"/>
      <w:szCs w:val="21"/>
    </w:rPr>
  </w:style>
  <w:style w:type="paragraph" w:styleId="af">
    <w:name w:val="annotation text"/>
    <w:basedOn w:val="a"/>
    <w:link w:val="af0"/>
    <w:uiPriority w:val="99"/>
    <w:semiHidden/>
    <w:unhideWhenUsed/>
    <w:rsid w:val="001D6663"/>
    <w:pPr>
      <w:jc w:val="left"/>
    </w:pPr>
  </w:style>
  <w:style w:type="character" w:customStyle="1" w:styleId="af0">
    <w:name w:val="批注文字 字符"/>
    <w:link w:val="af"/>
    <w:uiPriority w:val="99"/>
    <w:semiHidden/>
    <w:rsid w:val="001D6663"/>
    <w:rPr>
      <w:rFonts w:ascii="Times New Roman" w:eastAsia="宋体" w:hAnsi="Times New Roman" w:cs="Times New Roman"/>
      <w:szCs w:val="24"/>
    </w:rPr>
  </w:style>
  <w:style w:type="paragraph" w:styleId="af1">
    <w:name w:val="annotation subject"/>
    <w:basedOn w:val="af"/>
    <w:next w:val="af"/>
    <w:link w:val="af2"/>
    <w:uiPriority w:val="99"/>
    <w:semiHidden/>
    <w:unhideWhenUsed/>
    <w:rsid w:val="001D6663"/>
    <w:rPr>
      <w:b/>
      <w:bCs/>
    </w:rPr>
  </w:style>
  <w:style w:type="character" w:customStyle="1" w:styleId="af2">
    <w:name w:val="批注主题 字符"/>
    <w:link w:val="af1"/>
    <w:uiPriority w:val="99"/>
    <w:semiHidden/>
    <w:rsid w:val="001D6663"/>
    <w:rPr>
      <w:rFonts w:ascii="Times New Roman" w:eastAsia="宋体" w:hAnsi="Times New Roman" w:cs="Times New Roman"/>
      <w:b/>
      <w:bCs/>
      <w:szCs w:val="24"/>
    </w:rPr>
  </w:style>
  <w:style w:type="paragraph" w:customStyle="1" w:styleId="TableParagraph">
    <w:name w:val="Table Paragraph"/>
    <w:basedOn w:val="a"/>
    <w:uiPriority w:val="1"/>
    <w:qFormat/>
    <w:rsid w:val="000969F6"/>
    <w:pPr>
      <w:autoSpaceDE w:val="0"/>
      <w:autoSpaceDN w:val="0"/>
      <w:jc w:val="left"/>
    </w:pPr>
    <w:rPr>
      <w:rFonts w:ascii="仿宋" w:eastAsia="仿宋" w:hAnsi="仿宋" w:cs="仿宋"/>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48676">
      <w:bodyDiv w:val="1"/>
      <w:marLeft w:val="0"/>
      <w:marRight w:val="0"/>
      <w:marTop w:val="0"/>
      <w:marBottom w:val="0"/>
      <w:divBdr>
        <w:top w:val="none" w:sz="0" w:space="0" w:color="auto"/>
        <w:left w:val="none" w:sz="0" w:space="0" w:color="auto"/>
        <w:bottom w:val="none" w:sz="0" w:space="0" w:color="auto"/>
        <w:right w:val="none" w:sz="0" w:space="0" w:color="auto"/>
      </w:divBdr>
    </w:div>
    <w:div w:id="528490229">
      <w:bodyDiv w:val="1"/>
      <w:marLeft w:val="0"/>
      <w:marRight w:val="0"/>
      <w:marTop w:val="0"/>
      <w:marBottom w:val="0"/>
      <w:divBdr>
        <w:top w:val="none" w:sz="0" w:space="0" w:color="auto"/>
        <w:left w:val="none" w:sz="0" w:space="0" w:color="auto"/>
        <w:bottom w:val="none" w:sz="0" w:space="0" w:color="auto"/>
        <w:right w:val="none" w:sz="0" w:space="0" w:color="auto"/>
      </w:divBdr>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136CC-E1CD-4DAC-BCA9-916C6F3B8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kmq</dc:creator>
  <cp:keywords/>
  <cp:lastModifiedBy>LJY</cp:lastModifiedBy>
  <cp:revision>2</cp:revision>
  <cp:lastPrinted>2021-10-18T08:09:00Z</cp:lastPrinted>
  <dcterms:created xsi:type="dcterms:W3CDTF">2025-01-24T08:23:00Z</dcterms:created>
  <dcterms:modified xsi:type="dcterms:W3CDTF">2025-01-24T08:23:00Z</dcterms:modified>
</cp:coreProperties>
</file>