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370F5" w14:textId="77777777" w:rsidR="001C24A8" w:rsidRDefault="001C24A8">
      <w:pPr>
        <w:widowControl/>
        <w:spacing w:line="720" w:lineRule="auto"/>
        <w:jc w:val="center"/>
        <w:rPr>
          <w:rFonts w:ascii="楷体" w:eastAsia="楷体" w:hAnsi="楷体"/>
          <w:sz w:val="32"/>
          <w:szCs w:val="32"/>
        </w:rPr>
      </w:pPr>
      <w:bookmarkStart w:id="0" w:name="_Toc22746257"/>
      <w:bookmarkStart w:id="1" w:name="_Toc22744617"/>
    </w:p>
    <w:p w14:paraId="3521602A" w14:textId="77777777" w:rsidR="001C24A8" w:rsidRDefault="001C24A8">
      <w:pPr>
        <w:widowControl/>
        <w:spacing w:line="720" w:lineRule="auto"/>
        <w:jc w:val="center"/>
        <w:rPr>
          <w:rFonts w:ascii="楷体" w:eastAsia="楷体" w:hAnsi="楷体"/>
          <w:sz w:val="32"/>
          <w:szCs w:val="32"/>
        </w:rPr>
      </w:pPr>
    </w:p>
    <w:p w14:paraId="5C72FA28" w14:textId="77777777" w:rsidR="001C24A8" w:rsidRDefault="008853F0">
      <w:pPr>
        <w:widowControl/>
        <w:spacing w:line="720" w:lineRule="auto"/>
        <w:jc w:val="center"/>
        <w:rPr>
          <w:rFonts w:ascii="楷体" w:eastAsia="楷体" w:hAnsi="楷体"/>
          <w:b/>
          <w:bCs/>
          <w:sz w:val="32"/>
          <w:szCs w:val="32"/>
        </w:rPr>
      </w:pPr>
      <w:r>
        <w:rPr>
          <w:rFonts w:ascii="楷体" w:eastAsia="楷体" w:hAnsi="楷体" w:hint="eastAsia"/>
          <w:b/>
          <w:bCs/>
          <w:sz w:val="32"/>
          <w:szCs w:val="32"/>
        </w:rPr>
        <w:t>上海加宁律师事务所</w:t>
      </w:r>
    </w:p>
    <w:p w14:paraId="41F3B4A3" w14:textId="77777777" w:rsidR="001C24A8" w:rsidRDefault="008853F0">
      <w:pPr>
        <w:widowControl/>
        <w:spacing w:line="720" w:lineRule="auto"/>
        <w:jc w:val="center"/>
        <w:rPr>
          <w:rFonts w:ascii="楷体" w:eastAsia="楷体" w:hAnsi="楷体"/>
          <w:b/>
          <w:bCs/>
          <w:sz w:val="32"/>
          <w:szCs w:val="32"/>
        </w:rPr>
      </w:pPr>
      <w:r>
        <w:rPr>
          <w:rFonts w:ascii="楷体" w:eastAsia="楷体" w:hAnsi="楷体"/>
          <w:b/>
          <w:bCs/>
          <w:sz w:val="32"/>
          <w:szCs w:val="32"/>
        </w:rPr>
        <w:t>关于</w:t>
      </w:r>
      <w:bookmarkEnd w:id="0"/>
      <w:bookmarkEnd w:id="1"/>
    </w:p>
    <w:p w14:paraId="3D659E77" w14:textId="77777777" w:rsidR="001C24A8" w:rsidRDefault="008853F0">
      <w:pPr>
        <w:widowControl/>
        <w:spacing w:line="720" w:lineRule="auto"/>
        <w:jc w:val="center"/>
        <w:rPr>
          <w:rFonts w:ascii="楷体" w:eastAsia="楷体" w:hAnsi="楷体"/>
          <w:b/>
          <w:bCs/>
          <w:sz w:val="32"/>
          <w:szCs w:val="32"/>
        </w:rPr>
      </w:pPr>
      <w:bookmarkStart w:id="2" w:name="_Toc22746258"/>
      <w:r>
        <w:rPr>
          <w:rFonts w:ascii="楷体" w:eastAsia="楷体" w:hAnsi="楷体" w:hint="eastAsia"/>
          <w:b/>
          <w:bCs/>
          <w:sz w:val="32"/>
          <w:szCs w:val="32"/>
        </w:rPr>
        <w:t>江苏中利集团股份有限公司</w:t>
      </w:r>
    </w:p>
    <w:p w14:paraId="7E7D1F7B" w14:textId="576C24F5" w:rsidR="001C24A8" w:rsidRDefault="001B436B">
      <w:pPr>
        <w:widowControl/>
        <w:spacing w:line="720" w:lineRule="auto"/>
        <w:jc w:val="center"/>
        <w:rPr>
          <w:rFonts w:ascii="楷体" w:eastAsia="楷体" w:hAnsi="楷体"/>
          <w:b/>
          <w:bCs/>
          <w:sz w:val="32"/>
          <w:szCs w:val="32"/>
        </w:rPr>
      </w:pPr>
      <w:r>
        <w:rPr>
          <w:rFonts w:ascii="楷体" w:eastAsia="楷体" w:hAnsi="楷体" w:hint="eastAsia"/>
          <w:b/>
          <w:bCs/>
          <w:sz w:val="32"/>
          <w:szCs w:val="32"/>
        </w:rPr>
        <w:t>相关事项</w:t>
      </w:r>
    </w:p>
    <w:p w14:paraId="212DB33D" w14:textId="77777777" w:rsidR="001C24A8" w:rsidRDefault="008853F0">
      <w:pPr>
        <w:widowControl/>
        <w:spacing w:line="720" w:lineRule="auto"/>
        <w:jc w:val="center"/>
        <w:rPr>
          <w:rFonts w:ascii="楷体" w:eastAsia="楷体" w:hAnsi="楷体"/>
          <w:b/>
          <w:bCs/>
          <w:sz w:val="32"/>
          <w:szCs w:val="32"/>
        </w:rPr>
      </w:pPr>
      <w:bookmarkStart w:id="3" w:name="_Toc22746259"/>
      <w:bookmarkStart w:id="4" w:name="_Toc22744618"/>
      <w:bookmarkEnd w:id="2"/>
      <w:r>
        <w:rPr>
          <w:rFonts w:ascii="楷体" w:eastAsia="楷体" w:hAnsi="楷体" w:hint="eastAsia"/>
          <w:b/>
          <w:bCs/>
          <w:sz w:val="32"/>
          <w:szCs w:val="32"/>
        </w:rPr>
        <w:t>之</w:t>
      </w:r>
      <w:bookmarkEnd w:id="3"/>
      <w:bookmarkEnd w:id="4"/>
    </w:p>
    <w:p w14:paraId="7141E0E2" w14:textId="77777777" w:rsidR="001C24A8" w:rsidRDefault="008853F0">
      <w:pPr>
        <w:widowControl/>
        <w:spacing w:line="720" w:lineRule="auto"/>
        <w:jc w:val="center"/>
        <w:rPr>
          <w:rFonts w:ascii="楷体" w:eastAsia="楷体" w:hAnsi="楷体"/>
          <w:b/>
          <w:bCs/>
          <w:sz w:val="32"/>
          <w:szCs w:val="32"/>
        </w:rPr>
      </w:pPr>
      <w:bookmarkStart w:id="5" w:name="_Toc22744619"/>
      <w:bookmarkStart w:id="6" w:name="_Toc22746260"/>
      <w:r>
        <w:rPr>
          <w:rFonts w:ascii="楷体" w:eastAsia="楷体" w:hAnsi="楷体"/>
          <w:b/>
          <w:bCs/>
          <w:sz w:val="32"/>
          <w:szCs w:val="32"/>
        </w:rPr>
        <w:t>法律意见书</w:t>
      </w:r>
      <w:bookmarkEnd w:id="5"/>
      <w:bookmarkEnd w:id="6"/>
    </w:p>
    <w:p w14:paraId="075D2103" w14:textId="77777777" w:rsidR="001C24A8" w:rsidRDefault="001C24A8">
      <w:pPr>
        <w:widowControl/>
        <w:spacing w:line="720" w:lineRule="auto"/>
        <w:jc w:val="center"/>
        <w:rPr>
          <w:rFonts w:ascii="楷体" w:eastAsia="楷体" w:hAnsi="楷体"/>
          <w:sz w:val="32"/>
          <w:szCs w:val="32"/>
        </w:rPr>
      </w:pPr>
    </w:p>
    <w:p w14:paraId="1AC81A94" w14:textId="77777777" w:rsidR="001C24A8" w:rsidRDefault="001C24A8">
      <w:pPr>
        <w:widowControl/>
        <w:spacing w:line="720" w:lineRule="auto"/>
        <w:jc w:val="center"/>
        <w:rPr>
          <w:rFonts w:ascii="楷体" w:eastAsia="楷体" w:hAnsi="楷体"/>
          <w:sz w:val="32"/>
          <w:szCs w:val="32"/>
        </w:rPr>
      </w:pPr>
    </w:p>
    <w:p w14:paraId="09B052DF" w14:textId="77777777" w:rsidR="001C24A8" w:rsidRDefault="001C24A8">
      <w:pPr>
        <w:widowControl/>
        <w:spacing w:line="720" w:lineRule="auto"/>
        <w:jc w:val="center"/>
        <w:rPr>
          <w:rFonts w:ascii="楷体" w:eastAsia="楷体" w:hAnsi="楷体"/>
          <w:sz w:val="32"/>
          <w:szCs w:val="32"/>
        </w:rPr>
      </w:pPr>
    </w:p>
    <w:p w14:paraId="76E30E81" w14:textId="77777777" w:rsidR="001C24A8" w:rsidRDefault="001C24A8">
      <w:pPr>
        <w:widowControl/>
        <w:spacing w:line="720" w:lineRule="auto"/>
        <w:jc w:val="center"/>
        <w:rPr>
          <w:rFonts w:ascii="楷体" w:eastAsia="楷体" w:hAnsi="楷体"/>
          <w:sz w:val="32"/>
          <w:szCs w:val="32"/>
        </w:rPr>
      </w:pPr>
    </w:p>
    <w:p w14:paraId="4B4FD901" w14:textId="77777777" w:rsidR="001C24A8" w:rsidRDefault="001C24A8">
      <w:pPr>
        <w:widowControl/>
        <w:spacing w:line="720" w:lineRule="auto"/>
        <w:jc w:val="center"/>
        <w:rPr>
          <w:rFonts w:ascii="楷体" w:eastAsia="楷体" w:hAnsi="楷体"/>
          <w:sz w:val="32"/>
          <w:szCs w:val="32"/>
        </w:rPr>
      </w:pPr>
    </w:p>
    <w:p w14:paraId="08B58A84" w14:textId="77777777" w:rsidR="001C24A8" w:rsidRDefault="008853F0">
      <w:pPr>
        <w:widowControl/>
        <w:spacing w:line="360" w:lineRule="auto"/>
        <w:jc w:val="center"/>
        <w:rPr>
          <w:rFonts w:ascii="楷体" w:eastAsia="楷体" w:hAnsi="楷体"/>
          <w:sz w:val="24"/>
        </w:rPr>
      </w:pPr>
      <w:r>
        <w:rPr>
          <w:rFonts w:ascii="楷体" w:eastAsia="楷体" w:hAnsi="楷体" w:hint="eastAsia"/>
          <w:sz w:val="24"/>
        </w:rPr>
        <w:t>上海加宁律师事务所</w:t>
      </w:r>
    </w:p>
    <w:p w14:paraId="693CB019" w14:textId="1A205862" w:rsidR="001C24A8" w:rsidRDefault="008853F0">
      <w:pPr>
        <w:widowControl/>
        <w:spacing w:line="360" w:lineRule="auto"/>
        <w:jc w:val="center"/>
        <w:rPr>
          <w:rFonts w:ascii="楷体" w:eastAsia="楷体" w:hAnsi="楷体"/>
          <w:sz w:val="24"/>
        </w:rPr>
        <w:sectPr w:rsidR="001C24A8">
          <w:headerReference w:type="default" r:id="rId8"/>
          <w:footerReference w:type="default" r:id="rId9"/>
          <w:headerReference w:type="first" r:id="rId10"/>
          <w:footerReference w:type="first" r:id="rId11"/>
          <w:pgSz w:w="11906" w:h="16838"/>
          <w:pgMar w:top="1440" w:right="1800" w:bottom="1440" w:left="1800" w:header="851" w:footer="992" w:gutter="0"/>
          <w:cols w:space="425"/>
          <w:titlePg/>
          <w:docGrid w:type="lines" w:linePitch="312"/>
        </w:sectPr>
      </w:pPr>
      <w:r>
        <w:rPr>
          <w:rFonts w:ascii="楷体" w:eastAsia="楷体" w:hAnsi="楷体" w:hint="eastAsia"/>
          <w:sz w:val="24"/>
        </w:rPr>
        <w:t>202</w:t>
      </w:r>
      <w:r>
        <w:rPr>
          <w:rFonts w:ascii="楷体" w:eastAsia="楷体" w:hAnsi="楷体"/>
          <w:sz w:val="24"/>
        </w:rPr>
        <w:t>5</w:t>
      </w:r>
      <w:r>
        <w:rPr>
          <w:rFonts w:ascii="楷体" w:eastAsia="楷体" w:hAnsi="楷体" w:hint="eastAsia"/>
          <w:sz w:val="24"/>
        </w:rPr>
        <w:t>年</w:t>
      </w:r>
      <w:r>
        <w:rPr>
          <w:rFonts w:ascii="楷体" w:eastAsia="楷体" w:hAnsi="楷体"/>
          <w:sz w:val="24"/>
        </w:rPr>
        <w:t>1</w:t>
      </w:r>
      <w:r>
        <w:rPr>
          <w:rFonts w:ascii="楷体" w:eastAsia="楷体" w:hAnsi="楷体" w:hint="eastAsia"/>
          <w:sz w:val="24"/>
        </w:rPr>
        <w:t>月</w:t>
      </w:r>
      <w:r w:rsidR="00B632FC">
        <w:rPr>
          <w:rFonts w:ascii="楷体" w:eastAsia="楷体" w:hAnsi="楷体"/>
          <w:sz w:val="24"/>
        </w:rPr>
        <w:t>8</w:t>
      </w:r>
      <w:r>
        <w:rPr>
          <w:rFonts w:ascii="楷体" w:eastAsia="楷体" w:hAnsi="楷体" w:hint="eastAsia"/>
          <w:sz w:val="24"/>
        </w:rPr>
        <w:t>日</w:t>
      </w:r>
    </w:p>
    <w:p w14:paraId="3B43BACC" w14:textId="77777777" w:rsidR="001C24A8" w:rsidRDefault="008853F0">
      <w:pPr>
        <w:spacing w:afterLines="100" w:after="312"/>
        <w:jc w:val="left"/>
        <w:rPr>
          <w:rFonts w:ascii="楷体" w:eastAsia="楷体" w:hAnsi="楷体"/>
          <w:sz w:val="24"/>
        </w:rPr>
      </w:pPr>
      <w:r>
        <w:rPr>
          <w:rFonts w:ascii="楷体" w:eastAsia="楷体" w:hAnsi="楷体"/>
          <w:b/>
          <w:sz w:val="24"/>
        </w:rPr>
        <w:lastRenderedPageBreak/>
        <w:t>敬启者</w:t>
      </w:r>
      <w:r>
        <w:rPr>
          <w:rFonts w:ascii="楷体" w:eastAsia="楷体" w:hAnsi="楷体"/>
          <w:sz w:val="24"/>
        </w:rPr>
        <w:t>：</w:t>
      </w:r>
    </w:p>
    <w:p w14:paraId="30620179" w14:textId="77777777" w:rsidR="001C24A8" w:rsidRDefault="008853F0">
      <w:pPr>
        <w:spacing w:line="360" w:lineRule="auto"/>
        <w:ind w:firstLineChars="200" w:firstLine="480"/>
        <w:rPr>
          <w:rFonts w:ascii="楷体" w:eastAsia="楷体" w:hAnsi="楷体"/>
          <w:sz w:val="24"/>
        </w:rPr>
      </w:pPr>
      <w:r>
        <w:rPr>
          <w:rFonts w:ascii="楷体" w:eastAsia="楷体" w:hAnsi="楷体" w:hint="eastAsia"/>
          <w:sz w:val="24"/>
        </w:rPr>
        <w:t>上海加宁律师事务所</w:t>
      </w:r>
      <w:r>
        <w:rPr>
          <w:rFonts w:ascii="楷体" w:eastAsia="楷体" w:hAnsi="楷体"/>
          <w:sz w:val="24"/>
        </w:rPr>
        <w:t>（以下简称</w:t>
      </w:r>
      <w:r>
        <w:rPr>
          <w:rFonts w:ascii="楷体" w:eastAsia="楷体" w:hAnsi="楷体"/>
          <w:b/>
          <w:bCs/>
          <w:sz w:val="24"/>
        </w:rPr>
        <w:t>“我们”</w:t>
      </w:r>
      <w:r>
        <w:rPr>
          <w:rFonts w:ascii="楷体" w:eastAsia="楷体" w:hAnsi="楷体" w:hint="eastAsia"/>
          <w:sz w:val="24"/>
        </w:rPr>
        <w:t>或</w:t>
      </w:r>
      <w:r>
        <w:rPr>
          <w:rFonts w:ascii="楷体" w:eastAsia="楷体" w:hAnsi="楷体" w:hint="eastAsia"/>
          <w:b/>
          <w:bCs/>
          <w:sz w:val="24"/>
        </w:rPr>
        <w:t>“本所”</w:t>
      </w:r>
      <w:r>
        <w:rPr>
          <w:rFonts w:ascii="楷体" w:eastAsia="楷体" w:hAnsi="楷体"/>
          <w:sz w:val="24"/>
        </w:rPr>
        <w:t>）是一家依据中华人民共和国大陆地区（以下简称为</w:t>
      </w:r>
      <w:r>
        <w:rPr>
          <w:rFonts w:ascii="楷体" w:eastAsia="楷体" w:hAnsi="楷体"/>
          <w:b/>
          <w:bCs/>
          <w:sz w:val="24"/>
        </w:rPr>
        <w:t>“中国”</w:t>
      </w:r>
      <w:r>
        <w:rPr>
          <w:rFonts w:ascii="楷体" w:eastAsia="楷体" w:hAnsi="楷体"/>
          <w:sz w:val="24"/>
        </w:rPr>
        <w:t>）法律成立及执业的合伙制律师事务所，有资格依据现行有效的中国法律、法规、规章和规范性文件（以下合称</w:t>
      </w:r>
      <w:r>
        <w:rPr>
          <w:rFonts w:ascii="楷体" w:eastAsia="楷体" w:hAnsi="楷体"/>
          <w:b/>
          <w:bCs/>
          <w:sz w:val="24"/>
        </w:rPr>
        <w:t>“中国法律”</w:t>
      </w:r>
      <w:r>
        <w:rPr>
          <w:rFonts w:ascii="楷体" w:eastAsia="楷体" w:hAnsi="楷体"/>
          <w:sz w:val="24"/>
        </w:rPr>
        <w:t>）就法律事宜发表意见。</w:t>
      </w:r>
    </w:p>
    <w:p w14:paraId="3ADF3EDF" w14:textId="77777777" w:rsidR="001C24A8" w:rsidRDefault="008853F0">
      <w:pPr>
        <w:spacing w:line="360" w:lineRule="auto"/>
        <w:ind w:firstLineChars="200" w:firstLine="480"/>
        <w:rPr>
          <w:rFonts w:ascii="楷体" w:eastAsia="楷体" w:hAnsi="楷体"/>
          <w:sz w:val="24"/>
        </w:rPr>
      </w:pPr>
      <w:r>
        <w:rPr>
          <w:rFonts w:ascii="楷体" w:eastAsia="楷体" w:hAnsi="楷体" w:hint="eastAsia"/>
          <w:sz w:val="24"/>
        </w:rPr>
        <w:t>本所</w:t>
      </w:r>
      <w:r>
        <w:rPr>
          <w:rFonts w:ascii="楷体" w:eastAsia="楷体" w:hAnsi="楷体"/>
          <w:sz w:val="24"/>
        </w:rPr>
        <w:t>受</w:t>
      </w:r>
      <w:r>
        <w:rPr>
          <w:rFonts w:ascii="楷体" w:eastAsia="楷体" w:hAnsi="楷体" w:hint="eastAsia"/>
          <w:sz w:val="24"/>
        </w:rPr>
        <w:t>江苏中利集团股份有限公司（以下简称</w:t>
      </w:r>
      <w:r>
        <w:rPr>
          <w:rFonts w:ascii="楷体" w:eastAsia="楷体" w:hAnsi="楷体" w:hint="eastAsia"/>
          <w:b/>
          <w:bCs/>
          <w:sz w:val="24"/>
        </w:rPr>
        <w:t>“中利集团”</w:t>
      </w:r>
      <w:r>
        <w:rPr>
          <w:rFonts w:ascii="楷体" w:eastAsia="楷体" w:hAnsi="楷体" w:hint="eastAsia"/>
          <w:sz w:val="24"/>
        </w:rPr>
        <w:t>或</w:t>
      </w:r>
      <w:r>
        <w:rPr>
          <w:rFonts w:ascii="楷体" w:eastAsia="楷体" w:hAnsi="楷体" w:hint="eastAsia"/>
          <w:b/>
          <w:bCs/>
          <w:sz w:val="24"/>
        </w:rPr>
        <w:t>“公司”</w:t>
      </w:r>
      <w:r>
        <w:rPr>
          <w:rFonts w:ascii="楷体" w:eastAsia="楷体" w:hAnsi="楷体" w:hint="eastAsia"/>
          <w:sz w:val="24"/>
        </w:rPr>
        <w:t>）</w:t>
      </w:r>
      <w:r>
        <w:rPr>
          <w:rFonts w:ascii="楷体" w:eastAsia="楷体" w:hAnsi="楷体"/>
          <w:sz w:val="24"/>
        </w:rPr>
        <w:t>的委托，就</w:t>
      </w:r>
      <w:r>
        <w:rPr>
          <w:rFonts w:ascii="楷体" w:eastAsia="楷体" w:hAnsi="楷体" w:hint="eastAsia"/>
          <w:sz w:val="24"/>
        </w:rPr>
        <w:t>中利集团存在的非经营性资金占用及违规担保问题解决完毕相关事宜</w:t>
      </w:r>
      <w:r>
        <w:rPr>
          <w:rFonts w:ascii="楷体" w:eastAsia="楷体" w:hAnsi="楷体"/>
          <w:sz w:val="24"/>
        </w:rPr>
        <w:t>所涉及的相关法律问题，出具本法律意见书。</w:t>
      </w:r>
    </w:p>
    <w:p w14:paraId="217BC888" w14:textId="77777777" w:rsidR="001C24A8" w:rsidRDefault="008853F0">
      <w:pPr>
        <w:spacing w:line="360" w:lineRule="auto"/>
        <w:ind w:firstLineChars="200" w:firstLine="480"/>
        <w:rPr>
          <w:rFonts w:ascii="楷体" w:eastAsia="楷体" w:hAnsi="楷体"/>
          <w:sz w:val="24"/>
        </w:rPr>
      </w:pPr>
      <w:r>
        <w:rPr>
          <w:rFonts w:ascii="楷体" w:eastAsia="楷体" w:hAnsi="楷体"/>
          <w:sz w:val="24"/>
        </w:rPr>
        <w:t>为出具本法律意见书，</w:t>
      </w:r>
      <w:r>
        <w:rPr>
          <w:rFonts w:ascii="楷体" w:eastAsia="楷体" w:hAnsi="楷体" w:hint="eastAsia"/>
          <w:sz w:val="24"/>
        </w:rPr>
        <w:t>本所</w:t>
      </w:r>
      <w:r>
        <w:rPr>
          <w:rFonts w:ascii="楷体" w:eastAsia="楷体" w:hAnsi="楷体"/>
          <w:sz w:val="24"/>
        </w:rPr>
        <w:t>审查了</w:t>
      </w:r>
      <w:r>
        <w:rPr>
          <w:rFonts w:ascii="楷体" w:eastAsia="楷体" w:hAnsi="楷体" w:hint="eastAsia"/>
          <w:sz w:val="24"/>
        </w:rPr>
        <w:t>公司</w:t>
      </w:r>
      <w:r>
        <w:rPr>
          <w:rFonts w:ascii="楷体" w:eastAsia="楷体" w:hAnsi="楷体"/>
          <w:sz w:val="24"/>
        </w:rPr>
        <w:t>提供的</w:t>
      </w:r>
      <w:r>
        <w:rPr>
          <w:rFonts w:ascii="楷体" w:eastAsia="楷体" w:hAnsi="楷体" w:hint="eastAsia"/>
          <w:sz w:val="24"/>
        </w:rPr>
        <w:t>相关</w:t>
      </w:r>
      <w:r>
        <w:rPr>
          <w:rFonts w:ascii="楷体" w:eastAsia="楷体" w:hAnsi="楷体"/>
          <w:sz w:val="24"/>
        </w:rPr>
        <w:t>文件和资料，并就有关事项向</w:t>
      </w:r>
      <w:r>
        <w:rPr>
          <w:rFonts w:ascii="楷体" w:eastAsia="楷体" w:hAnsi="楷体" w:hint="eastAsia"/>
          <w:sz w:val="24"/>
        </w:rPr>
        <w:t>有关人员开展了必要的访谈</w:t>
      </w:r>
      <w:r>
        <w:rPr>
          <w:rFonts w:ascii="楷体" w:eastAsia="楷体" w:hAnsi="楷体"/>
          <w:sz w:val="24"/>
        </w:rPr>
        <w:t>。</w:t>
      </w:r>
    </w:p>
    <w:p w14:paraId="24C8C2E1" w14:textId="77777777" w:rsidR="001C24A8" w:rsidRDefault="001C24A8">
      <w:pPr>
        <w:spacing w:line="360" w:lineRule="auto"/>
        <w:ind w:firstLineChars="200" w:firstLine="480"/>
        <w:rPr>
          <w:rFonts w:ascii="楷体" w:eastAsia="楷体" w:hAnsi="楷体"/>
          <w:sz w:val="24"/>
        </w:rPr>
      </w:pPr>
    </w:p>
    <w:p w14:paraId="44E8F16D" w14:textId="77777777" w:rsidR="001C24A8" w:rsidRDefault="008853F0">
      <w:pPr>
        <w:spacing w:line="360" w:lineRule="auto"/>
        <w:ind w:firstLineChars="200" w:firstLine="482"/>
        <w:rPr>
          <w:rFonts w:ascii="楷体" w:eastAsia="楷体" w:hAnsi="楷体"/>
          <w:b/>
          <w:bCs/>
          <w:sz w:val="24"/>
          <w:u w:val="single"/>
        </w:rPr>
      </w:pPr>
      <w:r>
        <w:rPr>
          <w:rFonts w:ascii="楷体" w:eastAsia="楷体" w:hAnsi="楷体" w:hint="eastAsia"/>
          <w:b/>
          <w:bCs/>
          <w:sz w:val="24"/>
          <w:u w:val="single"/>
        </w:rPr>
        <w:t>本法律意见书系基于下述前提、假设和限制而出具：</w:t>
      </w:r>
    </w:p>
    <w:p w14:paraId="3782CB93" w14:textId="77777777" w:rsidR="001C24A8" w:rsidRDefault="001C24A8">
      <w:pPr>
        <w:spacing w:line="360" w:lineRule="auto"/>
        <w:ind w:firstLineChars="200" w:firstLine="480"/>
        <w:rPr>
          <w:rFonts w:ascii="楷体" w:eastAsia="楷体" w:hAnsi="楷体"/>
          <w:sz w:val="24"/>
        </w:rPr>
      </w:pPr>
    </w:p>
    <w:p w14:paraId="2FC88C3D" w14:textId="77777777" w:rsidR="001C24A8" w:rsidRDefault="008853F0">
      <w:pPr>
        <w:pStyle w:val="af1"/>
        <w:numPr>
          <w:ilvl w:val="0"/>
          <w:numId w:val="1"/>
        </w:numPr>
        <w:spacing w:line="360" w:lineRule="auto"/>
        <w:ind w:firstLineChars="0"/>
        <w:rPr>
          <w:rFonts w:ascii="楷体" w:eastAsia="楷体" w:hAnsi="楷体"/>
          <w:sz w:val="24"/>
        </w:rPr>
      </w:pPr>
      <w:r>
        <w:rPr>
          <w:rFonts w:ascii="楷体" w:eastAsia="楷体" w:hAnsi="楷体" w:hint="eastAsia"/>
          <w:sz w:val="24"/>
        </w:rPr>
        <w:t>截止本法律意见书出具之日，相关各方向本所提供的所有相关文件均保持完全的效力，并未以任何方式被替代、修改、补充、注销或撤销；</w:t>
      </w:r>
    </w:p>
    <w:p w14:paraId="3BB8BEBA" w14:textId="77777777" w:rsidR="001C24A8" w:rsidRDefault="008853F0">
      <w:pPr>
        <w:pStyle w:val="af1"/>
        <w:numPr>
          <w:ilvl w:val="0"/>
          <w:numId w:val="1"/>
        </w:numPr>
        <w:spacing w:line="360" w:lineRule="auto"/>
        <w:ind w:firstLineChars="0"/>
        <w:rPr>
          <w:rFonts w:ascii="楷体" w:eastAsia="楷体" w:hAnsi="楷体"/>
          <w:sz w:val="24"/>
        </w:rPr>
      </w:pPr>
      <w:r>
        <w:rPr>
          <w:rFonts w:ascii="楷体" w:eastAsia="楷体" w:hAnsi="楷体" w:hint="eastAsia"/>
          <w:sz w:val="24"/>
        </w:rPr>
        <w:t>就相关各方向本所提供的所有相关文件中政府部门的许可、证照、登记、备案或其他类似政府批准、备案文件以及政府部门出具之证明或确认文件，该等文件均系通过正当途径从适当的政府部门获得；</w:t>
      </w:r>
    </w:p>
    <w:p w14:paraId="3979B2BF" w14:textId="77777777" w:rsidR="001C24A8" w:rsidRDefault="008853F0">
      <w:pPr>
        <w:pStyle w:val="af1"/>
        <w:numPr>
          <w:ilvl w:val="0"/>
          <w:numId w:val="1"/>
        </w:numPr>
        <w:spacing w:line="360" w:lineRule="auto"/>
        <w:ind w:firstLineChars="0"/>
        <w:rPr>
          <w:rFonts w:ascii="楷体" w:eastAsia="楷体" w:hAnsi="楷体"/>
          <w:sz w:val="24"/>
        </w:rPr>
      </w:pPr>
      <w:r>
        <w:rPr>
          <w:rFonts w:ascii="楷体" w:eastAsia="楷体" w:hAnsi="楷体" w:hint="eastAsia"/>
          <w:sz w:val="24"/>
        </w:rPr>
        <w:t>相关各方已经向本所披露为出具本法律意见书所必需的所有相关事实性信息，该等事实性信息，无论以书面或口头方式向本所提供均系真实、完整及准确的，并不存在任何遗漏、隐瞒、虚假或误导之处，且截止本法律意见书出具之日，该等声明、陈述和信息依然保持完全的效力，并未被替代、修改、补充或撤销；</w:t>
      </w:r>
    </w:p>
    <w:p w14:paraId="0CCB26AD" w14:textId="77777777" w:rsidR="001C24A8" w:rsidRDefault="008853F0">
      <w:pPr>
        <w:pStyle w:val="af1"/>
        <w:numPr>
          <w:ilvl w:val="0"/>
          <w:numId w:val="1"/>
        </w:numPr>
        <w:spacing w:line="360" w:lineRule="auto"/>
        <w:ind w:firstLineChars="0"/>
        <w:rPr>
          <w:rFonts w:ascii="楷体" w:eastAsia="楷体" w:hAnsi="楷体"/>
          <w:sz w:val="24"/>
        </w:rPr>
      </w:pPr>
      <w:r>
        <w:rPr>
          <w:rFonts w:ascii="楷体" w:eastAsia="楷体" w:hAnsi="楷体" w:hint="eastAsia"/>
          <w:sz w:val="24"/>
        </w:rPr>
        <w:t>对于出具本法律意见书至关重要、而又无法得到独立证据支持的事实，本所仅能依赖于各方出具之证明或确认文件；</w:t>
      </w:r>
    </w:p>
    <w:p w14:paraId="689773CA" w14:textId="77777777" w:rsidR="001C24A8" w:rsidRDefault="008853F0">
      <w:pPr>
        <w:pStyle w:val="af1"/>
        <w:numPr>
          <w:ilvl w:val="0"/>
          <w:numId w:val="1"/>
        </w:numPr>
        <w:spacing w:line="360" w:lineRule="auto"/>
        <w:ind w:firstLineChars="0"/>
        <w:rPr>
          <w:rFonts w:ascii="楷体" w:eastAsia="楷体" w:hAnsi="楷体"/>
          <w:sz w:val="24"/>
        </w:rPr>
      </w:pPr>
      <w:r>
        <w:rPr>
          <w:rFonts w:ascii="楷体" w:eastAsia="楷体" w:hAnsi="楷体" w:hint="eastAsia"/>
          <w:sz w:val="24"/>
        </w:rPr>
        <w:t>本所仅就在本法律意见书出具之前已经发生的、且本所实际知晓的事实发表法律意见；本所不对出具日之后产生的权利、义务或其他事项发表意见；</w:t>
      </w:r>
    </w:p>
    <w:p w14:paraId="15420E63" w14:textId="77777777" w:rsidR="001C24A8" w:rsidRDefault="008853F0">
      <w:pPr>
        <w:pStyle w:val="af1"/>
        <w:numPr>
          <w:ilvl w:val="0"/>
          <w:numId w:val="1"/>
        </w:numPr>
        <w:spacing w:line="360" w:lineRule="auto"/>
        <w:ind w:firstLineChars="0"/>
        <w:rPr>
          <w:rFonts w:ascii="楷体" w:eastAsia="楷体" w:hAnsi="楷体"/>
          <w:sz w:val="24"/>
        </w:rPr>
      </w:pPr>
      <w:r>
        <w:rPr>
          <w:rFonts w:ascii="楷体" w:eastAsia="楷体" w:hAnsi="楷体" w:hint="eastAsia"/>
          <w:sz w:val="24"/>
        </w:rPr>
        <w:t>本法律意见书仅根据出具日有效的中国法律</w:t>
      </w:r>
      <w:proofErr w:type="gramStart"/>
      <w:r>
        <w:rPr>
          <w:rFonts w:ascii="楷体" w:eastAsia="楷体" w:hAnsi="楷体" w:hint="eastAsia"/>
          <w:sz w:val="24"/>
        </w:rPr>
        <w:t>作出</w:t>
      </w:r>
      <w:proofErr w:type="gramEnd"/>
      <w:r>
        <w:rPr>
          <w:rFonts w:ascii="楷体" w:eastAsia="楷体" w:hAnsi="楷体" w:hint="eastAsia"/>
          <w:sz w:val="24"/>
        </w:rPr>
        <w:t>，并受限于由于法律或</w:t>
      </w:r>
      <w:r>
        <w:rPr>
          <w:rFonts w:ascii="楷体" w:eastAsia="楷体" w:hAnsi="楷体" w:hint="eastAsia"/>
          <w:sz w:val="24"/>
        </w:rPr>
        <w:lastRenderedPageBreak/>
        <w:t>环境变化、时效终止或其他事项而发生的变化或限制；本所不保证该等中国法律在近期或未来不被修改、修订或取代，且该等修改、修订或取代可能具有溯及力；本所并不针对除中国法律以外的任何法律发表意见；</w:t>
      </w:r>
      <w:r>
        <w:rPr>
          <w:rFonts w:ascii="楷体" w:eastAsia="楷体" w:hAnsi="楷体"/>
          <w:sz w:val="24"/>
        </w:rPr>
        <w:t xml:space="preserve"> </w:t>
      </w:r>
    </w:p>
    <w:p w14:paraId="222EA510" w14:textId="77777777" w:rsidR="001C24A8" w:rsidRDefault="008853F0">
      <w:pPr>
        <w:pStyle w:val="af1"/>
        <w:numPr>
          <w:ilvl w:val="0"/>
          <w:numId w:val="1"/>
        </w:numPr>
        <w:spacing w:line="360" w:lineRule="auto"/>
        <w:ind w:firstLineChars="0"/>
        <w:rPr>
          <w:rFonts w:ascii="楷体" w:eastAsia="楷体" w:hAnsi="楷体"/>
          <w:sz w:val="24"/>
        </w:rPr>
      </w:pPr>
      <w:r>
        <w:rPr>
          <w:rFonts w:ascii="楷体" w:eastAsia="楷体" w:hAnsi="楷体" w:hint="eastAsia"/>
          <w:sz w:val="24"/>
        </w:rPr>
        <w:t>本法律意见书受限于相关立法、行政和司法机关对具体中国法律的自由裁定权，本所不能保证相关机关与本所对特定法律问题的意见完全一致。</w:t>
      </w:r>
    </w:p>
    <w:p w14:paraId="727F1A05" w14:textId="77777777" w:rsidR="001C24A8" w:rsidRDefault="001C24A8">
      <w:pPr>
        <w:spacing w:line="360" w:lineRule="auto"/>
        <w:ind w:firstLineChars="200" w:firstLine="480"/>
        <w:rPr>
          <w:rFonts w:ascii="楷体" w:eastAsia="楷体" w:hAnsi="楷体"/>
          <w:sz w:val="24"/>
        </w:rPr>
      </w:pPr>
    </w:p>
    <w:p w14:paraId="11162F66" w14:textId="77777777" w:rsidR="001C24A8" w:rsidRDefault="008853F0">
      <w:pPr>
        <w:spacing w:line="360" w:lineRule="auto"/>
        <w:ind w:firstLineChars="200" w:firstLine="482"/>
        <w:rPr>
          <w:rFonts w:ascii="楷体" w:eastAsia="楷体" w:hAnsi="楷体"/>
          <w:b/>
          <w:bCs/>
          <w:sz w:val="24"/>
          <w:u w:val="single"/>
        </w:rPr>
      </w:pPr>
      <w:r>
        <w:rPr>
          <w:rFonts w:ascii="楷体" w:eastAsia="楷体" w:hAnsi="楷体" w:hint="eastAsia"/>
          <w:b/>
          <w:bCs/>
          <w:sz w:val="24"/>
          <w:u w:val="single"/>
        </w:rPr>
        <w:t>本所</w:t>
      </w:r>
      <w:r>
        <w:rPr>
          <w:rFonts w:ascii="楷体" w:eastAsia="楷体" w:hAnsi="楷体"/>
          <w:b/>
          <w:bCs/>
          <w:sz w:val="24"/>
          <w:u w:val="single"/>
        </w:rPr>
        <w:t>按照中国律师行业公认的业务标准、道德规范和勤勉尽责精神，基于本法律意见书列明的假设与限制性规定，</w:t>
      </w:r>
      <w:r>
        <w:rPr>
          <w:rFonts w:ascii="楷体" w:eastAsia="楷体" w:hAnsi="楷体" w:hint="eastAsia"/>
          <w:b/>
          <w:bCs/>
          <w:sz w:val="24"/>
          <w:u w:val="single"/>
        </w:rPr>
        <w:t>且在受限于各方已经列明或披露的相关事宜的前提下，</w:t>
      </w:r>
      <w:r>
        <w:rPr>
          <w:rFonts w:ascii="楷体" w:eastAsia="楷体" w:hAnsi="楷体"/>
          <w:b/>
          <w:bCs/>
          <w:sz w:val="24"/>
          <w:u w:val="single"/>
        </w:rPr>
        <w:t>出具</w:t>
      </w:r>
      <w:r>
        <w:rPr>
          <w:rFonts w:ascii="楷体" w:eastAsia="楷体" w:hAnsi="楷体" w:hint="eastAsia"/>
          <w:b/>
          <w:bCs/>
          <w:sz w:val="24"/>
          <w:u w:val="single"/>
        </w:rPr>
        <w:t>本法律意见书。</w:t>
      </w:r>
    </w:p>
    <w:p w14:paraId="1B252004" w14:textId="77777777" w:rsidR="001C24A8" w:rsidRDefault="008853F0">
      <w:pPr>
        <w:spacing w:line="360" w:lineRule="auto"/>
        <w:ind w:firstLineChars="200" w:firstLine="480"/>
        <w:rPr>
          <w:rFonts w:ascii="楷体" w:eastAsia="楷体" w:hAnsi="楷体"/>
          <w:sz w:val="24"/>
        </w:rPr>
      </w:pPr>
      <w:r>
        <w:rPr>
          <w:rFonts w:ascii="楷体" w:eastAsia="楷体" w:hAnsi="楷体"/>
          <w:sz w:val="24"/>
        </w:rPr>
        <w:br w:type="page"/>
      </w:r>
    </w:p>
    <w:p w14:paraId="7A4A09A0" w14:textId="77777777" w:rsidR="001C24A8" w:rsidRDefault="008853F0">
      <w:pPr>
        <w:pStyle w:val="1"/>
        <w:spacing w:before="0" w:after="0" w:line="360" w:lineRule="auto"/>
        <w:ind w:firstLineChars="200" w:firstLine="480"/>
        <w:jc w:val="left"/>
        <w:rPr>
          <w:rFonts w:eastAsia="华文楷体"/>
          <w:bCs w:val="0"/>
          <w:kern w:val="2"/>
          <w:sz w:val="24"/>
          <w:szCs w:val="24"/>
        </w:rPr>
      </w:pPr>
      <w:r>
        <w:rPr>
          <w:rFonts w:eastAsia="华文楷体" w:hint="eastAsia"/>
          <w:bCs w:val="0"/>
          <w:kern w:val="2"/>
          <w:sz w:val="24"/>
          <w:szCs w:val="24"/>
        </w:rPr>
        <w:lastRenderedPageBreak/>
        <w:t>一、中利集团破产重整情况</w:t>
      </w:r>
    </w:p>
    <w:p w14:paraId="0560269B" w14:textId="77777777" w:rsidR="001C24A8" w:rsidRDefault="008853F0">
      <w:pPr>
        <w:adjustRightInd w:val="0"/>
        <w:snapToGrid w:val="0"/>
        <w:spacing w:line="360" w:lineRule="auto"/>
        <w:ind w:firstLineChars="200" w:firstLine="480"/>
        <w:rPr>
          <w:rFonts w:eastAsia="华文楷体"/>
          <w:sz w:val="24"/>
        </w:rPr>
      </w:pPr>
      <w:bookmarkStart w:id="7" w:name="OLE_LINK1"/>
      <w:r>
        <w:rPr>
          <w:rFonts w:eastAsia="华文楷体" w:hint="eastAsia"/>
          <w:sz w:val="24"/>
        </w:rPr>
        <w:t>2023</w:t>
      </w:r>
      <w:r>
        <w:rPr>
          <w:rFonts w:eastAsia="华文楷体" w:hint="eastAsia"/>
          <w:sz w:val="24"/>
        </w:rPr>
        <w:t>年</w:t>
      </w:r>
      <w:r>
        <w:rPr>
          <w:rFonts w:eastAsia="华文楷体" w:hint="eastAsia"/>
          <w:sz w:val="24"/>
        </w:rPr>
        <w:t>1</w:t>
      </w:r>
      <w:r>
        <w:rPr>
          <w:rFonts w:eastAsia="华文楷体" w:hint="eastAsia"/>
          <w:sz w:val="24"/>
        </w:rPr>
        <w:t>月</w:t>
      </w:r>
      <w:r>
        <w:rPr>
          <w:rFonts w:eastAsia="华文楷体" w:hint="eastAsia"/>
          <w:sz w:val="24"/>
        </w:rPr>
        <w:t>18</w:t>
      </w:r>
      <w:r>
        <w:rPr>
          <w:rFonts w:eastAsia="华文楷体" w:hint="eastAsia"/>
          <w:sz w:val="24"/>
        </w:rPr>
        <w:t>日，江苏欣意装饰工程有限公司以中利集团不能清偿到期债务且明显缺乏清偿能力，但具有重整价值为由，向江苏省苏州市中级人民法院（以下简称</w:t>
      </w:r>
      <w:r>
        <w:rPr>
          <w:rFonts w:eastAsia="华文楷体" w:hint="eastAsia"/>
          <w:b/>
          <w:bCs/>
          <w:sz w:val="24"/>
        </w:rPr>
        <w:t>“苏州中院”</w:t>
      </w:r>
      <w:r>
        <w:rPr>
          <w:rFonts w:eastAsia="华文楷体" w:hint="eastAsia"/>
          <w:sz w:val="24"/>
        </w:rPr>
        <w:t>）申请对中利集团进行重整，并申请启动预重整程序。</w:t>
      </w:r>
      <w:r>
        <w:rPr>
          <w:rFonts w:eastAsia="华文楷体" w:hint="eastAsia"/>
          <w:sz w:val="24"/>
        </w:rPr>
        <w:t>2023</w:t>
      </w:r>
      <w:r>
        <w:rPr>
          <w:rFonts w:eastAsia="华文楷体" w:hint="eastAsia"/>
          <w:sz w:val="24"/>
        </w:rPr>
        <w:t>年</w:t>
      </w:r>
      <w:r>
        <w:rPr>
          <w:rFonts w:eastAsia="华文楷体" w:hint="eastAsia"/>
          <w:sz w:val="24"/>
        </w:rPr>
        <w:t>2</w:t>
      </w:r>
      <w:r>
        <w:rPr>
          <w:rFonts w:eastAsia="华文楷体" w:hint="eastAsia"/>
          <w:sz w:val="24"/>
        </w:rPr>
        <w:t>月</w:t>
      </w:r>
      <w:r>
        <w:rPr>
          <w:rFonts w:eastAsia="华文楷体" w:hint="eastAsia"/>
          <w:sz w:val="24"/>
        </w:rPr>
        <w:t>23</w:t>
      </w:r>
      <w:r>
        <w:rPr>
          <w:rFonts w:eastAsia="华文楷体" w:hint="eastAsia"/>
          <w:sz w:val="24"/>
        </w:rPr>
        <w:t>日，苏州中院</w:t>
      </w:r>
      <w:proofErr w:type="gramStart"/>
      <w:r>
        <w:rPr>
          <w:rFonts w:eastAsia="华文楷体" w:hint="eastAsia"/>
          <w:sz w:val="24"/>
        </w:rPr>
        <w:t>作出</w:t>
      </w:r>
      <w:proofErr w:type="gramEnd"/>
      <w:r>
        <w:rPr>
          <w:rFonts w:eastAsia="华文楷体" w:hint="eastAsia"/>
          <w:sz w:val="24"/>
        </w:rPr>
        <w:t>（</w:t>
      </w:r>
      <w:r>
        <w:rPr>
          <w:rFonts w:eastAsia="华文楷体" w:hint="eastAsia"/>
          <w:sz w:val="24"/>
        </w:rPr>
        <w:t>2023</w:t>
      </w:r>
      <w:r>
        <w:rPr>
          <w:rFonts w:eastAsia="华文楷体" w:hint="eastAsia"/>
          <w:sz w:val="24"/>
        </w:rPr>
        <w:t>）苏</w:t>
      </w:r>
      <w:r>
        <w:rPr>
          <w:rFonts w:eastAsia="华文楷体" w:hint="eastAsia"/>
          <w:sz w:val="24"/>
        </w:rPr>
        <w:t>05</w:t>
      </w:r>
      <w:proofErr w:type="gramStart"/>
      <w:r>
        <w:rPr>
          <w:rFonts w:eastAsia="华文楷体" w:hint="eastAsia"/>
          <w:sz w:val="24"/>
        </w:rPr>
        <w:t>破申</w:t>
      </w:r>
      <w:r>
        <w:rPr>
          <w:rFonts w:eastAsia="华文楷体" w:hint="eastAsia"/>
          <w:sz w:val="24"/>
        </w:rPr>
        <w:t>1</w:t>
      </w:r>
      <w:proofErr w:type="gramEnd"/>
      <w:r>
        <w:rPr>
          <w:rFonts w:eastAsia="华文楷体" w:hint="eastAsia"/>
          <w:sz w:val="24"/>
        </w:rPr>
        <w:t>号《决定书》，决定启动中利集团预重整，并于同日指定中利集团临时管理人。</w:t>
      </w:r>
    </w:p>
    <w:p w14:paraId="6AF6736A" w14:textId="77777777" w:rsidR="001C24A8" w:rsidRDefault="008853F0">
      <w:pPr>
        <w:adjustRightInd w:val="0"/>
        <w:snapToGrid w:val="0"/>
        <w:spacing w:line="360" w:lineRule="auto"/>
        <w:ind w:firstLineChars="200" w:firstLine="480"/>
        <w:rPr>
          <w:rFonts w:eastAsia="华文楷体"/>
          <w:sz w:val="24"/>
        </w:rPr>
      </w:pPr>
      <w:r>
        <w:rPr>
          <w:rFonts w:eastAsia="华文楷体" w:hint="eastAsia"/>
          <w:sz w:val="24"/>
        </w:rPr>
        <w:t>2024</w:t>
      </w:r>
      <w:r>
        <w:rPr>
          <w:rFonts w:eastAsia="华文楷体" w:hint="eastAsia"/>
          <w:sz w:val="24"/>
        </w:rPr>
        <w:t>年</w:t>
      </w:r>
      <w:r>
        <w:rPr>
          <w:rFonts w:eastAsia="华文楷体" w:hint="eastAsia"/>
          <w:sz w:val="24"/>
        </w:rPr>
        <w:t>11</w:t>
      </w:r>
      <w:r>
        <w:rPr>
          <w:rFonts w:eastAsia="华文楷体" w:hint="eastAsia"/>
          <w:sz w:val="24"/>
        </w:rPr>
        <w:t>月</w:t>
      </w:r>
      <w:r>
        <w:rPr>
          <w:rFonts w:eastAsia="华文楷体" w:hint="eastAsia"/>
          <w:sz w:val="24"/>
        </w:rPr>
        <w:t>8</w:t>
      </w:r>
      <w:r>
        <w:rPr>
          <w:rFonts w:eastAsia="华文楷体" w:hint="eastAsia"/>
          <w:sz w:val="24"/>
        </w:rPr>
        <w:t>日，经听证及审查，苏州中院</w:t>
      </w:r>
      <w:proofErr w:type="gramStart"/>
      <w:r>
        <w:rPr>
          <w:rFonts w:eastAsia="华文楷体" w:hint="eastAsia"/>
          <w:sz w:val="24"/>
        </w:rPr>
        <w:t>作出</w:t>
      </w:r>
      <w:proofErr w:type="gramEnd"/>
      <w:r>
        <w:rPr>
          <w:rFonts w:eastAsia="华文楷体" w:hint="eastAsia"/>
          <w:sz w:val="24"/>
        </w:rPr>
        <w:t>（</w:t>
      </w:r>
      <w:r>
        <w:rPr>
          <w:rFonts w:eastAsia="华文楷体" w:hint="eastAsia"/>
          <w:sz w:val="24"/>
        </w:rPr>
        <w:t>2024</w:t>
      </w:r>
      <w:r>
        <w:rPr>
          <w:rFonts w:eastAsia="华文楷体" w:hint="eastAsia"/>
          <w:sz w:val="24"/>
        </w:rPr>
        <w:t>）苏</w:t>
      </w:r>
      <w:r>
        <w:rPr>
          <w:rFonts w:eastAsia="华文楷体" w:hint="eastAsia"/>
          <w:sz w:val="24"/>
        </w:rPr>
        <w:t>05</w:t>
      </w:r>
      <w:r>
        <w:rPr>
          <w:rFonts w:eastAsia="华文楷体" w:hint="eastAsia"/>
          <w:sz w:val="24"/>
        </w:rPr>
        <w:t>破</w:t>
      </w:r>
      <w:r>
        <w:rPr>
          <w:rFonts w:eastAsia="华文楷体" w:hint="eastAsia"/>
          <w:sz w:val="24"/>
        </w:rPr>
        <w:t>50</w:t>
      </w:r>
      <w:r>
        <w:rPr>
          <w:rFonts w:eastAsia="华文楷体" w:hint="eastAsia"/>
          <w:sz w:val="24"/>
        </w:rPr>
        <w:t>号《民事裁定书》，裁定受理中利集团破产重整，并于同日指定中利集团管理人。</w:t>
      </w:r>
    </w:p>
    <w:p w14:paraId="7AE093A5" w14:textId="77777777" w:rsidR="001C24A8" w:rsidRDefault="008853F0">
      <w:pPr>
        <w:adjustRightInd w:val="0"/>
        <w:snapToGrid w:val="0"/>
        <w:spacing w:line="360" w:lineRule="auto"/>
        <w:ind w:firstLineChars="200" w:firstLine="480"/>
        <w:rPr>
          <w:rFonts w:eastAsia="华文楷体"/>
          <w:sz w:val="24"/>
        </w:rPr>
      </w:pPr>
      <w:r>
        <w:rPr>
          <w:rFonts w:eastAsia="华文楷体" w:hint="eastAsia"/>
          <w:sz w:val="24"/>
        </w:rPr>
        <w:t>2024</w:t>
      </w:r>
      <w:r>
        <w:rPr>
          <w:rFonts w:eastAsia="华文楷体" w:hint="eastAsia"/>
          <w:sz w:val="24"/>
        </w:rPr>
        <w:t>年</w:t>
      </w:r>
      <w:r>
        <w:rPr>
          <w:rFonts w:eastAsia="华文楷体" w:hint="eastAsia"/>
          <w:sz w:val="24"/>
        </w:rPr>
        <w:t>12</w:t>
      </w:r>
      <w:r>
        <w:rPr>
          <w:rFonts w:eastAsia="华文楷体" w:hint="eastAsia"/>
          <w:sz w:val="24"/>
        </w:rPr>
        <w:t>月</w:t>
      </w:r>
      <w:r>
        <w:rPr>
          <w:rFonts w:eastAsia="华文楷体" w:hint="eastAsia"/>
          <w:sz w:val="24"/>
        </w:rPr>
        <w:t>4</w:t>
      </w:r>
      <w:r>
        <w:rPr>
          <w:rFonts w:eastAsia="华文楷体" w:hint="eastAsia"/>
          <w:sz w:val="24"/>
        </w:rPr>
        <w:t>日，中利集团召开债权人会议。债权人会议表决通过了《江苏中利集团股份有限公司重整计划（草案）》；同日，中利集团召开出资人组会议对《江苏中利集团股份有限公司重整计划（草案）之出资人权益调整方案》进行表决，并表决通过。</w:t>
      </w:r>
      <w:r>
        <w:rPr>
          <w:rFonts w:eastAsia="华文楷体" w:hint="eastAsia"/>
          <w:sz w:val="24"/>
        </w:rPr>
        <w:t>2024</w:t>
      </w:r>
      <w:r>
        <w:rPr>
          <w:rFonts w:eastAsia="华文楷体" w:hint="eastAsia"/>
          <w:sz w:val="24"/>
        </w:rPr>
        <w:t>年</w:t>
      </w:r>
      <w:r>
        <w:rPr>
          <w:rFonts w:eastAsia="华文楷体" w:hint="eastAsia"/>
          <w:sz w:val="24"/>
        </w:rPr>
        <w:t>12</w:t>
      </w:r>
      <w:r>
        <w:rPr>
          <w:rFonts w:eastAsia="华文楷体" w:hint="eastAsia"/>
          <w:sz w:val="24"/>
        </w:rPr>
        <w:t>月</w:t>
      </w:r>
      <w:r>
        <w:rPr>
          <w:rFonts w:eastAsia="华文楷体" w:hint="eastAsia"/>
          <w:sz w:val="24"/>
        </w:rPr>
        <w:t>11</w:t>
      </w:r>
      <w:r>
        <w:rPr>
          <w:rFonts w:eastAsia="华文楷体" w:hint="eastAsia"/>
          <w:sz w:val="24"/>
        </w:rPr>
        <w:t>日，苏州中院</w:t>
      </w:r>
      <w:proofErr w:type="gramStart"/>
      <w:r>
        <w:rPr>
          <w:rFonts w:eastAsia="华文楷体" w:hint="eastAsia"/>
          <w:sz w:val="24"/>
        </w:rPr>
        <w:t>作出</w:t>
      </w:r>
      <w:proofErr w:type="gramEnd"/>
      <w:r>
        <w:rPr>
          <w:rFonts w:eastAsia="华文楷体" w:hint="eastAsia"/>
          <w:sz w:val="24"/>
        </w:rPr>
        <w:t>（</w:t>
      </w:r>
      <w:r>
        <w:rPr>
          <w:rFonts w:eastAsia="华文楷体" w:hint="eastAsia"/>
          <w:sz w:val="24"/>
        </w:rPr>
        <w:t>2024</w:t>
      </w:r>
      <w:r>
        <w:rPr>
          <w:rFonts w:eastAsia="华文楷体" w:hint="eastAsia"/>
          <w:sz w:val="24"/>
        </w:rPr>
        <w:t>）苏</w:t>
      </w:r>
      <w:r>
        <w:rPr>
          <w:rFonts w:eastAsia="华文楷体" w:hint="eastAsia"/>
          <w:sz w:val="24"/>
        </w:rPr>
        <w:t>05</w:t>
      </w:r>
      <w:r>
        <w:rPr>
          <w:rFonts w:eastAsia="华文楷体" w:hint="eastAsia"/>
          <w:sz w:val="24"/>
        </w:rPr>
        <w:t>破</w:t>
      </w:r>
      <w:r>
        <w:rPr>
          <w:rFonts w:eastAsia="华文楷体" w:hint="eastAsia"/>
          <w:sz w:val="24"/>
        </w:rPr>
        <w:t>50</w:t>
      </w:r>
      <w:r>
        <w:rPr>
          <w:rFonts w:eastAsia="华文楷体" w:hint="eastAsia"/>
          <w:sz w:val="24"/>
        </w:rPr>
        <w:t>号之二《民事裁定书》，裁定批准公司《重整计划》，并终止公司重整程序。</w:t>
      </w:r>
    </w:p>
    <w:p w14:paraId="471CA52F" w14:textId="77777777" w:rsidR="001C24A8" w:rsidRDefault="008853F0">
      <w:pPr>
        <w:adjustRightInd w:val="0"/>
        <w:snapToGrid w:val="0"/>
        <w:spacing w:line="360" w:lineRule="auto"/>
        <w:ind w:firstLineChars="200" w:firstLine="480"/>
        <w:rPr>
          <w:rFonts w:eastAsia="华文楷体"/>
          <w:sz w:val="24"/>
        </w:rPr>
      </w:pPr>
      <w:r>
        <w:rPr>
          <w:rFonts w:eastAsia="华文楷体" w:hint="eastAsia"/>
          <w:sz w:val="24"/>
        </w:rPr>
        <w:t>2024</w:t>
      </w:r>
      <w:r>
        <w:rPr>
          <w:rFonts w:eastAsia="华文楷体" w:hint="eastAsia"/>
          <w:sz w:val="24"/>
        </w:rPr>
        <w:t>年</w:t>
      </w:r>
      <w:r>
        <w:rPr>
          <w:rFonts w:eastAsia="华文楷体" w:hint="eastAsia"/>
          <w:sz w:val="24"/>
        </w:rPr>
        <w:t>12</w:t>
      </w:r>
      <w:r>
        <w:rPr>
          <w:rFonts w:eastAsia="华文楷体" w:hint="eastAsia"/>
          <w:sz w:val="24"/>
        </w:rPr>
        <w:t>月</w:t>
      </w:r>
      <w:r>
        <w:rPr>
          <w:rFonts w:eastAsia="华文楷体" w:hint="eastAsia"/>
          <w:sz w:val="24"/>
        </w:rPr>
        <w:t>27</w:t>
      </w:r>
      <w:r>
        <w:rPr>
          <w:rFonts w:eastAsia="华文楷体" w:hint="eastAsia"/>
          <w:sz w:val="24"/>
        </w:rPr>
        <w:t>日，苏州中院</w:t>
      </w:r>
      <w:proofErr w:type="gramStart"/>
      <w:r>
        <w:rPr>
          <w:rFonts w:eastAsia="华文楷体" w:hint="eastAsia"/>
          <w:sz w:val="24"/>
        </w:rPr>
        <w:t>作出</w:t>
      </w:r>
      <w:proofErr w:type="gramEnd"/>
      <w:r>
        <w:rPr>
          <w:rFonts w:eastAsia="华文楷体" w:hint="eastAsia"/>
          <w:sz w:val="24"/>
        </w:rPr>
        <w:t>(2024)</w:t>
      </w:r>
      <w:r>
        <w:rPr>
          <w:rFonts w:eastAsia="华文楷体" w:hint="eastAsia"/>
          <w:sz w:val="24"/>
        </w:rPr>
        <w:t>苏</w:t>
      </w:r>
      <w:r>
        <w:rPr>
          <w:rFonts w:eastAsia="华文楷体" w:hint="eastAsia"/>
          <w:sz w:val="24"/>
        </w:rPr>
        <w:t>05</w:t>
      </w:r>
      <w:r>
        <w:rPr>
          <w:rFonts w:eastAsia="华文楷体" w:hint="eastAsia"/>
          <w:sz w:val="24"/>
        </w:rPr>
        <w:t>破</w:t>
      </w:r>
      <w:r>
        <w:rPr>
          <w:rFonts w:eastAsia="华文楷体" w:hint="eastAsia"/>
          <w:sz w:val="24"/>
        </w:rPr>
        <w:t>50</w:t>
      </w:r>
      <w:r>
        <w:rPr>
          <w:rFonts w:eastAsia="华文楷体" w:hint="eastAsia"/>
          <w:sz w:val="24"/>
        </w:rPr>
        <w:t>号之四号《民事裁定书》，裁定中利集团《重整计划》执行完毕，并终结中利集团重整程序。</w:t>
      </w:r>
    </w:p>
    <w:p w14:paraId="1F1D8C4D" w14:textId="77777777" w:rsidR="001C24A8" w:rsidRDefault="008853F0">
      <w:pPr>
        <w:keepNext/>
        <w:adjustRightInd w:val="0"/>
        <w:snapToGrid w:val="0"/>
        <w:spacing w:line="360" w:lineRule="auto"/>
        <w:ind w:firstLineChars="200" w:firstLine="480"/>
        <w:rPr>
          <w:rFonts w:eastAsia="华文楷体"/>
          <w:b/>
          <w:sz w:val="24"/>
        </w:rPr>
      </w:pPr>
      <w:r>
        <w:rPr>
          <w:rFonts w:eastAsia="华文楷体" w:hint="eastAsia"/>
          <w:b/>
          <w:sz w:val="24"/>
        </w:rPr>
        <w:t>二、中利集团非经营性资金占用及违规担保解决完毕的法律分析</w:t>
      </w:r>
    </w:p>
    <w:p w14:paraId="3A995947" w14:textId="77777777" w:rsidR="001C24A8" w:rsidRDefault="008853F0">
      <w:pPr>
        <w:adjustRightInd w:val="0"/>
        <w:snapToGrid w:val="0"/>
        <w:spacing w:line="360" w:lineRule="auto"/>
        <w:ind w:firstLineChars="200" w:firstLine="480"/>
        <w:rPr>
          <w:rFonts w:eastAsia="华文楷体"/>
          <w:sz w:val="24"/>
        </w:rPr>
      </w:pPr>
      <w:r>
        <w:rPr>
          <w:rFonts w:eastAsia="华文楷体" w:hint="eastAsia"/>
          <w:sz w:val="24"/>
        </w:rPr>
        <w:t>根据中利集团《</w:t>
      </w:r>
      <w:r>
        <w:rPr>
          <w:rFonts w:eastAsia="华文楷体" w:hint="eastAsia"/>
          <w:sz w:val="24"/>
        </w:rPr>
        <w:t>2023</w:t>
      </w:r>
      <w:r>
        <w:rPr>
          <w:rFonts w:eastAsia="华文楷体" w:hint="eastAsia"/>
          <w:sz w:val="24"/>
        </w:rPr>
        <w:t>年年度报告》，截至</w:t>
      </w:r>
      <w:r>
        <w:rPr>
          <w:rFonts w:eastAsia="华文楷体" w:hint="eastAsia"/>
          <w:sz w:val="24"/>
        </w:rPr>
        <w:t>2023</w:t>
      </w:r>
      <w:r>
        <w:rPr>
          <w:rFonts w:eastAsia="华文楷体" w:hint="eastAsia"/>
          <w:sz w:val="24"/>
        </w:rPr>
        <w:t>年</w:t>
      </w:r>
      <w:r>
        <w:rPr>
          <w:rFonts w:eastAsia="华文楷体" w:hint="eastAsia"/>
          <w:sz w:val="24"/>
        </w:rPr>
        <w:t>12</w:t>
      </w:r>
      <w:r>
        <w:rPr>
          <w:rFonts w:eastAsia="华文楷体" w:hint="eastAsia"/>
          <w:sz w:val="24"/>
        </w:rPr>
        <w:t>月</w:t>
      </w:r>
      <w:r>
        <w:rPr>
          <w:rFonts w:eastAsia="华文楷体" w:hint="eastAsia"/>
          <w:sz w:val="24"/>
        </w:rPr>
        <w:t>31</w:t>
      </w:r>
      <w:r>
        <w:rPr>
          <w:rFonts w:eastAsia="华文楷体" w:hint="eastAsia"/>
          <w:sz w:val="24"/>
        </w:rPr>
        <w:t>日，中利集团原控股股东王柏兴及其关联方非经营性资金占用余额约为</w:t>
      </w:r>
      <w:r>
        <w:rPr>
          <w:rFonts w:eastAsia="华文楷体" w:hint="eastAsia"/>
          <w:sz w:val="24"/>
        </w:rPr>
        <w:t>180,519.18</w:t>
      </w:r>
      <w:r>
        <w:rPr>
          <w:rFonts w:eastAsia="华文楷体" w:hint="eastAsia"/>
          <w:sz w:val="24"/>
        </w:rPr>
        <w:t>万元。截至</w:t>
      </w:r>
      <w:r>
        <w:rPr>
          <w:rFonts w:eastAsia="华文楷体" w:hint="eastAsia"/>
          <w:sz w:val="24"/>
        </w:rPr>
        <w:t>2023</w:t>
      </w:r>
      <w:r>
        <w:rPr>
          <w:rFonts w:eastAsia="华文楷体" w:hint="eastAsia"/>
          <w:sz w:val="24"/>
        </w:rPr>
        <w:t>年</w:t>
      </w:r>
      <w:r>
        <w:rPr>
          <w:rFonts w:eastAsia="华文楷体" w:hint="eastAsia"/>
          <w:sz w:val="24"/>
        </w:rPr>
        <w:t>12</w:t>
      </w:r>
      <w:r>
        <w:rPr>
          <w:rFonts w:eastAsia="华文楷体" w:hint="eastAsia"/>
          <w:sz w:val="24"/>
        </w:rPr>
        <w:t>月</w:t>
      </w:r>
      <w:r>
        <w:rPr>
          <w:rFonts w:eastAsia="华文楷体" w:hint="eastAsia"/>
          <w:sz w:val="24"/>
        </w:rPr>
        <w:t>31</w:t>
      </w:r>
      <w:r>
        <w:rPr>
          <w:rFonts w:eastAsia="华文楷体" w:hint="eastAsia"/>
          <w:sz w:val="24"/>
        </w:rPr>
        <w:t>日，中利集团涉及违规担保本金</w:t>
      </w:r>
      <w:r>
        <w:rPr>
          <w:rFonts w:eastAsia="华文楷体" w:hint="eastAsia"/>
          <w:sz w:val="24"/>
        </w:rPr>
        <w:t>46,999.00</w:t>
      </w:r>
      <w:r>
        <w:rPr>
          <w:rFonts w:eastAsia="华文楷体" w:hint="eastAsia"/>
          <w:sz w:val="24"/>
        </w:rPr>
        <w:t>万元。</w:t>
      </w:r>
    </w:p>
    <w:p w14:paraId="721723B8" w14:textId="77777777" w:rsidR="001C24A8" w:rsidRDefault="008853F0">
      <w:pPr>
        <w:adjustRightInd w:val="0"/>
        <w:snapToGrid w:val="0"/>
        <w:spacing w:line="360" w:lineRule="auto"/>
        <w:ind w:firstLineChars="200" w:firstLine="480"/>
        <w:rPr>
          <w:rFonts w:eastAsia="华文楷体"/>
          <w:sz w:val="24"/>
        </w:rPr>
      </w:pPr>
      <w:r>
        <w:rPr>
          <w:rFonts w:eastAsia="华文楷体" w:hint="eastAsia"/>
          <w:sz w:val="24"/>
        </w:rPr>
        <w:t>针对</w:t>
      </w:r>
      <w:r>
        <w:rPr>
          <w:rFonts w:eastAsia="华文楷体" w:hint="eastAsia"/>
          <w:sz w:val="24"/>
        </w:rPr>
        <w:t>180,519.18</w:t>
      </w:r>
      <w:r>
        <w:rPr>
          <w:rFonts w:eastAsia="华文楷体" w:hint="eastAsia"/>
          <w:sz w:val="24"/>
        </w:rPr>
        <w:t>万元非经营性资金占用。根据公司、管理人及各财务投资人签署的重整投资协议以及各财务投资人的付款回单，中利集团原控股股东及其关联方非经营性资金占用</w:t>
      </w:r>
      <w:r>
        <w:rPr>
          <w:rFonts w:eastAsia="华文楷体" w:hint="eastAsia"/>
          <w:sz w:val="24"/>
        </w:rPr>
        <w:t>68,035.71</w:t>
      </w:r>
      <w:r>
        <w:rPr>
          <w:rFonts w:eastAsia="华文楷体" w:hint="eastAsia"/>
          <w:sz w:val="24"/>
        </w:rPr>
        <w:t>万元已通过现金方式获得清偿；根据公司、公司子公司分别与相关债权人签署的已经发生效力的相关代为履行协议及确认函，中利集团原控股股东及其关联方非经营性资金占用</w:t>
      </w:r>
      <w:r>
        <w:rPr>
          <w:rFonts w:eastAsia="华文楷体" w:hint="eastAsia"/>
          <w:sz w:val="24"/>
        </w:rPr>
        <w:t>112,483.48</w:t>
      </w:r>
      <w:r>
        <w:rPr>
          <w:rFonts w:eastAsia="华文楷体" w:hint="eastAsia"/>
          <w:sz w:val="24"/>
        </w:rPr>
        <w:t>万元已通过相关债权人豁免债权的方式获得清偿。因此，中利集团存在的非经营性资金占用</w:t>
      </w:r>
      <w:r>
        <w:rPr>
          <w:rFonts w:eastAsia="华文楷体" w:hint="eastAsia"/>
          <w:sz w:val="24"/>
        </w:rPr>
        <w:t>180,519.18</w:t>
      </w:r>
      <w:r>
        <w:rPr>
          <w:rFonts w:eastAsia="华文楷体" w:hint="eastAsia"/>
          <w:sz w:val="24"/>
        </w:rPr>
        <w:t>万元已经通过前述两种方式依法获得妥善解决。</w:t>
      </w:r>
    </w:p>
    <w:p w14:paraId="161A0F23" w14:textId="213C9A5C" w:rsidR="001C24A8" w:rsidRDefault="008853F0">
      <w:pPr>
        <w:adjustRightInd w:val="0"/>
        <w:snapToGrid w:val="0"/>
        <w:spacing w:line="360" w:lineRule="auto"/>
        <w:ind w:firstLineChars="200" w:firstLine="480"/>
        <w:rPr>
          <w:rFonts w:eastAsia="华文楷体"/>
          <w:sz w:val="24"/>
        </w:rPr>
      </w:pPr>
      <w:r>
        <w:rPr>
          <w:rFonts w:eastAsia="华文楷体" w:hint="eastAsia"/>
          <w:sz w:val="24"/>
        </w:rPr>
        <w:lastRenderedPageBreak/>
        <w:t>针对</w:t>
      </w:r>
      <w:r>
        <w:rPr>
          <w:rFonts w:eastAsia="华文楷体" w:hint="eastAsia"/>
          <w:sz w:val="24"/>
        </w:rPr>
        <w:t>46,999.00</w:t>
      </w:r>
      <w:r>
        <w:rPr>
          <w:rFonts w:eastAsia="华文楷体" w:hint="eastAsia"/>
          <w:sz w:val="24"/>
        </w:rPr>
        <w:t>万元违规担保。根据公司、管理人及产业投资人签署的重整投资协议，产业投资人承诺以现金形式就中利集团为承担违规担保债权清偿责任所实际付出的偿债资源对中利集团进行补偿。因此，中利集团存在的违规担保已通过产业投资人按照重整投资协议约定的兜底方式获得妥善解决。</w:t>
      </w:r>
    </w:p>
    <w:p w14:paraId="2854633C" w14:textId="77777777" w:rsidR="001C24A8" w:rsidRDefault="008853F0">
      <w:pPr>
        <w:pStyle w:val="1"/>
        <w:spacing w:before="0" w:after="0" w:line="360" w:lineRule="auto"/>
        <w:ind w:firstLineChars="200" w:firstLine="480"/>
        <w:jc w:val="left"/>
        <w:rPr>
          <w:rFonts w:eastAsia="华文楷体"/>
          <w:bCs w:val="0"/>
          <w:kern w:val="2"/>
          <w:sz w:val="24"/>
          <w:szCs w:val="24"/>
        </w:rPr>
      </w:pPr>
      <w:r>
        <w:rPr>
          <w:rFonts w:eastAsia="华文楷体" w:hint="eastAsia"/>
          <w:bCs w:val="0"/>
          <w:kern w:val="2"/>
          <w:sz w:val="24"/>
          <w:szCs w:val="24"/>
        </w:rPr>
        <w:t>三、结论</w:t>
      </w:r>
    </w:p>
    <w:p w14:paraId="5121F462" w14:textId="2CFA8142" w:rsidR="001C24A8" w:rsidRDefault="008853F0">
      <w:pPr>
        <w:adjustRightInd w:val="0"/>
        <w:snapToGrid w:val="0"/>
        <w:spacing w:line="360" w:lineRule="auto"/>
        <w:ind w:firstLineChars="200" w:firstLine="480"/>
        <w:rPr>
          <w:rFonts w:eastAsia="华文楷体"/>
          <w:sz w:val="24"/>
        </w:rPr>
      </w:pPr>
      <w:r>
        <w:rPr>
          <w:rFonts w:eastAsia="华文楷体" w:hint="eastAsia"/>
          <w:sz w:val="24"/>
        </w:rPr>
        <w:t>综上所述，根据国发〔</w:t>
      </w:r>
      <w:r>
        <w:rPr>
          <w:rFonts w:eastAsia="华文楷体" w:hint="eastAsia"/>
          <w:sz w:val="24"/>
        </w:rPr>
        <w:t>2020</w:t>
      </w:r>
      <w:r>
        <w:rPr>
          <w:rFonts w:eastAsia="华文楷体" w:hint="eastAsia"/>
          <w:sz w:val="24"/>
        </w:rPr>
        <w:t>〕</w:t>
      </w:r>
      <w:r>
        <w:rPr>
          <w:rFonts w:eastAsia="华文楷体" w:hint="eastAsia"/>
          <w:sz w:val="24"/>
        </w:rPr>
        <w:t>14</w:t>
      </w:r>
      <w:r>
        <w:rPr>
          <w:rFonts w:eastAsia="华文楷体" w:hint="eastAsia"/>
          <w:sz w:val="24"/>
        </w:rPr>
        <w:t>号《国务院关于进一步提高上市公司质量的意见》《上市公司监管指引第</w:t>
      </w:r>
      <w:r>
        <w:rPr>
          <w:rFonts w:eastAsia="华文楷体" w:hint="eastAsia"/>
          <w:sz w:val="24"/>
        </w:rPr>
        <w:t>8</w:t>
      </w:r>
      <w:r>
        <w:rPr>
          <w:rFonts w:eastAsia="华文楷体" w:hint="eastAsia"/>
          <w:sz w:val="24"/>
        </w:rPr>
        <w:t>号——上市公司资金往来、对外担保的监管要求》等相关法律法规、监管规则的规定及要求，结合中利集团提供的材料及说明，我们认为，中利集团存在的非经营性资金占用及违规担保问题解决方案依法合</w:t>
      </w:r>
      <w:proofErr w:type="gramStart"/>
      <w:r>
        <w:rPr>
          <w:rFonts w:eastAsia="华文楷体" w:hint="eastAsia"/>
          <w:sz w:val="24"/>
        </w:rPr>
        <w:t>规</w:t>
      </w:r>
      <w:proofErr w:type="gramEnd"/>
      <w:r>
        <w:rPr>
          <w:rFonts w:eastAsia="华文楷体" w:hint="eastAsia"/>
          <w:sz w:val="24"/>
        </w:rPr>
        <w:t>，且均已得到妥善清偿或化解，能够增厚上市公司权益</w:t>
      </w:r>
      <w:r>
        <w:rPr>
          <w:rFonts w:eastAsia="华文楷体"/>
          <w:sz w:val="24"/>
        </w:rPr>
        <w:t>，</w:t>
      </w:r>
      <w:r>
        <w:rPr>
          <w:rFonts w:eastAsia="华文楷体" w:hint="eastAsia"/>
          <w:sz w:val="24"/>
        </w:rPr>
        <w:t>依法保障中小投资者以及全体债权人等利害相关方的合法利益。</w:t>
      </w:r>
    </w:p>
    <w:p w14:paraId="3C61DBC5" w14:textId="77777777" w:rsidR="001C24A8" w:rsidRDefault="001C24A8">
      <w:pPr>
        <w:spacing w:line="360" w:lineRule="auto"/>
        <w:rPr>
          <w:rFonts w:ascii="楷体" w:eastAsia="楷体" w:hAnsi="楷体"/>
          <w:sz w:val="24"/>
        </w:rPr>
      </w:pPr>
    </w:p>
    <w:p w14:paraId="3B7DA7D4" w14:textId="77777777" w:rsidR="001C24A8" w:rsidRDefault="008853F0">
      <w:pPr>
        <w:spacing w:line="360" w:lineRule="auto"/>
        <w:ind w:firstLineChars="200" w:firstLine="480"/>
        <w:rPr>
          <w:rFonts w:ascii="楷体" w:eastAsia="楷体" w:hAnsi="楷体"/>
          <w:sz w:val="24"/>
        </w:rPr>
      </w:pPr>
      <w:r>
        <w:rPr>
          <w:rFonts w:ascii="楷体" w:eastAsia="楷体" w:hAnsi="楷体" w:hint="eastAsia"/>
          <w:sz w:val="24"/>
        </w:rPr>
        <w:t>本法律意见仅供参考。未经本所事先书面同意，不得用作任何其他目的。</w:t>
      </w:r>
    </w:p>
    <w:p w14:paraId="5E9C5564" w14:textId="77777777" w:rsidR="001C24A8" w:rsidRDefault="001C24A8">
      <w:pPr>
        <w:adjustRightInd w:val="0"/>
        <w:snapToGrid w:val="0"/>
        <w:spacing w:line="360" w:lineRule="auto"/>
        <w:ind w:firstLineChars="200" w:firstLine="480"/>
        <w:rPr>
          <w:rFonts w:eastAsia="华文楷体"/>
          <w:sz w:val="24"/>
        </w:rPr>
      </w:pPr>
    </w:p>
    <w:p w14:paraId="2559CA39" w14:textId="77777777" w:rsidR="001C24A8" w:rsidRDefault="001C24A8">
      <w:pPr>
        <w:adjustRightInd w:val="0"/>
        <w:snapToGrid w:val="0"/>
        <w:spacing w:line="360" w:lineRule="auto"/>
        <w:ind w:firstLineChars="200" w:firstLine="480"/>
        <w:rPr>
          <w:rFonts w:eastAsia="华文楷体"/>
          <w:sz w:val="24"/>
        </w:rPr>
      </w:pPr>
      <w:bookmarkStart w:id="8" w:name="_GoBack"/>
      <w:bookmarkEnd w:id="8"/>
    </w:p>
    <w:p w14:paraId="7AFCC592" w14:textId="51244502" w:rsidR="001C24A8" w:rsidRDefault="00DD76A0">
      <w:pPr>
        <w:adjustRightInd w:val="0"/>
        <w:snapToGrid w:val="0"/>
        <w:spacing w:line="360" w:lineRule="auto"/>
        <w:ind w:firstLineChars="200" w:firstLine="480"/>
        <w:rPr>
          <w:rFonts w:eastAsia="华文楷体"/>
          <w:sz w:val="24"/>
        </w:rPr>
      </w:pPr>
      <w:r>
        <w:rPr>
          <w:rFonts w:eastAsia="华文楷体" w:hint="eastAsia"/>
          <w:sz w:val="24"/>
        </w:rPr>
        <w:t>（以下无正文，下接签字页）</w:t>
      </w:r>
    </w:p>
    <w:p w14:paraId="38D1EBFC" w14:textId="55412B80" w:rsidR="001C24A8" w:rsidRPr="00DD76A0" w:rsidRDefault="001C24A8">
      <w:pPr>
        <w:adjustRightInd w:val="0"/>
        <w:snapToGrid w:val="0"/>
        <w:spacing w:line="360" w:lineRule="auto"/>
        <w:ind w:firstLineChars="200" w:firstLine="480"/>
        <w:jc w:val="right"/>
        <w:rPr>
          <w:rFonts w:eastAsia="楷体"/>
          <w:sz w:val="24"/>
        </w:rPr>
      </w:pPr>
    </w:p>
    <w:bookmarkEnd w:id="7"/>
    <w:p w14:paraId="73A0B10D" w14:textId="5A3D74AD" w:rsidR="00B632FC" w:rsidRDefault="00B632FC">
      <w:pPr>
        <w:spacing w:line="360" w:lineRule="auto"/>
        <w:ind w:firstLineChars="200" w:firstLine="480"/>
        <w:jc w:val="left"/>
        <w:rPr>
          <w:rFonts w:ascii="楷体" w:eastAsia="楷体" w:hAnsi="楷体"/>
          <w:sz w:val="24"/>
        </w:rPr>
      </w:pPr>
    </w:p>
    <w:p w14:paraId="02B1EA04" w14:textId="77777777" w:rsidR="00B632FC" w:rsidRDefault="00B632FC">
      <w:pPr>
        <w:widowControl/>
        <w:jc w:val="left"/>
        <w:rPr>
          <w:rFonts w:ascii="楷体" w:eastAsia="楷体" w:hAnsi="楷体"/>
          <w:sz w:val="24"/>
        </w:rPr>
      </w:pPr>
      <w:r>
        <w:rPr>
          <w:rFonts w:ascii="楷体" w:eastAsia="楷体" w:hAnsi="楷体"/>
          <w:sz w:val="24"/>
        </w:rPr>
        <w:br w:type="page"/>
      </w:r>
    </w:p>
    <w:p w14:paraId="23A70A28" w14:textId="5DE025BC" w:rsidR="00B632FC" w:rsidRDefault="00B632FC" w:rsidP="00331C4D">
      <w:pPr>
        <w:spacing w:line="360" w:lineRule="auto"/>
        <w:ind w:firstLineChars="200" w:firstLine="480"/>
        <w:jc w:val="left"/>
        <w:rPr>
          <w:rFonts w:ascii="楷体" w:eastAsia="楷体" w:hAnsi="楷体"/>
          <w:sz w:val="24"/>
        </w:rPr>
      </w:pPr>
      <w:r>
        <w:rPr>
          <w:rFonts w:ascii="楷体" w:eastAsia="楷体" w:hAnsi="楷体" w:hint="eastAsia"/>
          <w:sz w:val="24"/>
        </w:rPr>
        <w:lastRenderedPageBreak/>
        <w:t>（本页无正文，为《</w:t>
      </w:r>
      <w:r w:rsidR="00331C4D">
        <w:rPr>
          <w:rFonts w:ascii="楷体" w:eastAsia="楷体" w:hAnsi="楷体" w:hint="eastAsia"/>
          <w:sz w:val="24"/>
        </w:rPr>
        <w:t>上海加宁律师事务所</w:t>
      </w:r>
      <w:r w:rsidR="00331C4D" w:rsidRPr="00331C4D">
        <w:rPr>
          <w:rFonts w:ascii="楷体" w:eastAsia="楷体" w:hAnsi="楷体" w:hint="eastAsia"/>
          <w:sz w:val="24"/>
        </w:rPr>
        <w:t>关于江苏中利集团股份有限公司</w:t>
      </w:r>
      <w:r w:rsidR="009A1C9F">
        <w:rPr>
          <w:rFonts w:ascii="楷体" w:eastAsia="楷体" w:hAnsi="楷体" w:hint="eastAsia"/>
          <w:sz w:val="24"/>
        </w:rPr>
        <w:t>相关事项</w:t>
      </w:r>
      <w:r w:rsidR="00331C4D" w:rsidRPr="00331C4D">
        <w:rPr>
          <w:rFonts w:ascii="楷体" w:eastAsia="楷体" w:hAnsi="楷体" w:hint="eastAsia"/>
          <w:sz w:val="24"/>
        </w:rPr>
        <w:t>之法律意见书</w:t>
      </w:r>
      <w:r>
        <w:rPr>
          <w:rFonts w:ascii="楷体" w:eastAsia="楷体" w:hAnsi="楷体" w:hint="eastAsia"/>
          <w:sz w:val="24"/>
        </w:rPr>
        <w:t>》之签署页）</w:t>
      </w:r>
    </w:p>
    <w:p w14:paraId="681D0678" w14:textId="3C8E21DB" w:rsidR="00B632FC" w:rsidRDefault="00B632FC">
      <w:pPr>
        <w:spacing w:line="360" w:lineRule="auto"/>
        <w:ind w:firstLineChars="200" w:firstLine="480"/>
        <w:jc w:val="left"/>
        <w:rPr>
          <w:rFonts w:ascii="楷体" w:eastAsia="楷体" w:hAnsi="楷体"/>
          <w:sz w:val="24"/>
        </w:rPr>
      </w:pPr>
    </w:p>
    <w:p w14:paraId="33B5967E" w14:textId="585B21A2" w:rsidR="00B632FC" w:rsidRDefault="00B632FC">
      <w:pPr>
        <w:spacing w:line="360" w:lineRule="auto"/>
        <w:ind w:firstLineChars="200" w:firstLine="480"/>
        <w:jc w:val="left"/>
        <w:rPr>
          <w:rFonts w:ascii="楷体" w:eastAsia="楷体" w:hAnsi="楷体"/>
          <w:sz w:val="24"/>
        </w:rPr>
      </w:pPr>
    </w:p>
    <w:p w14:paraId="601B32E4" w14:textId="0E7C38DC" w:rsidR="00B632FC" w:rsidRDefault="00B632FC">
      <w:pPr>
        <w:spacing w:line="360" w:lineRule="auto"/>
        <w:ind w:firstLineChars="200" w:firstLine="480"/>
        <w:jc w:val="left"/>
        <w:rPr>
          <w:rFonts w:ascii="楷体" w:eastAsia="楷体" w:hAnsi="楷体"/>
          <w:sz w:val="24"/>
        </w:rPr>
      </w:pPr>
    </w:p>
    <w:p w14:paraId="4E9E1634" w14:textId="21C6B145" w:rsidR="00B632FC" w:rsidRDefault="00B632FC">
      <w:pPr>
        <w:spacing w:line="360" w:lineRule="auto"/>
        <w:ind w:firstLineChars="200" w:firstLine="480"/>
        <w:jc w:val="left"/>
        <w:rPr>
          <w:rFonts w:ascii="楷体" w:eastAsia="楷体" w:hAnsi="楷体"/>
          <w:sz w:val="24"/>
        </w:rPr>
      </w:pPr>
    </w:p>
    <w:p w14:paraId="5E8B5884" w14:textId="50F1632C" w:rsidR="00B632FC" w:rsidRDefault="00B632FC">
      <w:pPr>
        <w:spacing w:line="360" w:lineRule="auto"/>
        <w:ind w:firstLineChars="200" w:firstLine="480"/>
        <w:jc w:val="left"/>
        <w:rPr>
          <w:rFonts w:ascii="楷体" w:eastAsia="楷体" w:hAnsi="楷体"/>
          <w:sz w:val="24"/>
        </w:rPr>
      </w:pPr>
      <w:r>
        <w:rPr>
          <w:rFonts w:ascii="楷体" w:eastAsia="楷体" w:hAnsi="楷体" w:hint="eastAsia"/>
          <w:sz w:val="24"/>
        </w:rPr>
        <w:t>本《法律意见书》于2</w:t>
      </w:r>
      <w:r>
        <w:rPr>
          <w:rFonts w:ascii="楷体" w:eastAsia="楷体" w:hAnsi="楷体"/>
          <w:sz w:val="24"/>
        </w:rPr>
        <w:t>025</w:t>
      </w:r>
      <w:r>
        <w:rPr>
          <w:rFonts w:ascii="楷体" w:eastAsia="楷体" w:hAnsi="楷体" w:hint="eastAsia"/>
          <w:sz w:val="24"/>
        </w:rPr>
        <w:t>年1月8日出具，正本一式三份，无副本。</w:t>
      </w:r>
    </w:p>
    <w:p w14:paraId="57768226" w14:textId="786BCC9C" w:rsidR="00B632FC" w:rsidRDefault="00B632FC">
      <w:pPr>
        <w:spacing w:line="360" w:lineRule="auto"/>
        <w:ind w:firstLineChars="200" w:firstLine="480"/>
        <w:jc w:val="left"/>
        <w:rPr>
          <w:rFonts w:ascii="楷体" w:eastAsia="楷体" w:hAnsi="楷体"/>
          <w:sz w:val="24"/>
        </w:rPr>
      </w:pPr>
    </w:p>
    <w:p w14:paraId="5A957096" w14:textId="320D0455" w:rsidR="00B632FC" w:rsidRDefault="00B632FC">
      <w:pPr>
        <w:spacing w:line="360" w:lineRule="auto"/>
        <w:ind w:firstLineChars="200" w:firstLine="480"/>
        <w:jc w:val="left"/>
        <w:rPr>
          <w:rFonts w:ascii="楷体" w:eastAsia="楷体" w:hAnsi="楷体"/>
          <w:sz w:val="24"/>
        </w:rPr>
      </w:pPr>
    </w:p>
    <w:p w14:paraId="386C028D" w14:textId="1AAF1290" w:rsidR="00B632FC" w:rsidRDefault="00B632FC">
      <w:pPr>
        <w:spacing w:line="360" w:lineRule="auto"/>
        <w:ind w:firstLineChars="200" w:firstLine="480"/>
        <w:jc w:val="left"/>
        <w:rPr>
          <w:rFonts w:ascii="楷体" w:eastAsia="楷体" w:hAnsi="楷体"/>
          <w:sz w:val="24"/>
        </w:rPr>
      </w:pPr>
      <w:r>
        <w:rPr>
          <w:rFonts w:ascii="楷体" w:eastAsia="楷体" w:hAnsi="楷体" w:hint="eastAsia"/>
          <w:sz w:val="24"/>
        </w:rPr>
        <w:t>上海加宁律师事务所</w:t>
      </w:r>
    </w:p>
    <w:p w14:paraId="4967D9CE" w14:textId="15219BA0" w:rsidR="00B632FC" w:rsidRDefault="00B632FC">
      <w:pPr>
        <w:spacing w:line="360" w:lineRule="auto"/>
        <w:ind w:firstLineChars="200" w:firstLine="480"/>
        <w:jc w:val="left"/>
        <w:rPr>
          <w:rFonts w:ascii="楷体" w:eastAsia="楷体" w:hAnsi="楷体"/>
          <w:sz w:val="24"/>
        </w:rPr>
      </w:pPr>
    </w:p>
    <w:p w14:paraId="455BFCE7" w14:textId="77777777" w:rsidR="00B632FC" w:rsidRDefault="00B632FC">
      <w:pPr>
        <w:spacing w:line="360" w:lineRule="auto"/>
        <w:ind w:firstLineChars="200" w:firstLine="480"/>
        <w:jc w:val="left"/>
        <w:rPr>
          <w:rFonts w:ascii="楷体" w:eastAsia="楷体" w:hAnsi="楷体"/>
          <w:sz w:val="24"/>
        </w:rPr>
      </w:pPr>
    </w:p>
    <w:p w14:paraId="2D5EA8C7" w14:textId="237DAA3E" w:rsidR="00B632FC" w:rsidRDefault="00B632FC">
      <w:pPr>
        <w:spacing w:line="360" w:lineRule="auto"/>
        <w:ind w:firstLineChars="200" w:firstLine="480"/>
        <w:jc w:val="left"/>
        <w:rPr>
          <w:rFonts w:ascii="楷体" w:eastAsia="楷体" w:hAnsi="楷体"/>
          <w:sz w:val="24"/>
        </w:rPr>
      </w:pPr>
    </w:p>
    <w:p w14:paraId="26F8DF19" w14:textId="6F7275E4" w:rsidR="00B632FC" w:rsidRPr="00B632FC" w:rsidRDefault="00B632FC">
      <w:pPr>
        <w:spacing w:line="360" w:lineRule="auto"/>
        <w:ind w:firstLineChars="200" w:firstLine="480"/>
        <w:jc w:val="left"/>
        <w:rPr>
          <w:rFonts w:ascii="楷体" w:eastAsia="楷体" w:hAnsi="楷体"/>
          <w:sz w:val="24"/>
        </w:rPr>
      </w:pPr>
      <w:r>
        <w:rPr>
          <w:rFonts w:ascii="楷体" w:eastAsia="楷体" w:hAnsi="楷体" w:hint="eastAsia"/>
          <w:sz w:val="24"/>
        </w:rPr>
        <w:t xml:space="preserve">负责人： </w:t>
      </w:r>
      <w:r>
        <w:rPr>
          <w:rFonts w:ascii="楷体" w:eastAsia="楷体" w:hAnsi="楷体"/>
          <w:sz w:val="24"/>
        </w:rPr>
        <w:t xml:space="preserve">                                  </w:t>
      </w:r>
      <w:r>
        <w:rPr>
          <w:rFonts w:ascii="楷体" w:eastAsia="楷体" w:hAnsi="楷体" w:hint="eastAsia"/>
          <w:sz w:val="24"/>
        </w:rPr>
        <w:t>签字律师：</w:t>
      </w:r>
    </w:p>
    <w:sectPr w:rsidR="00B632FC" w:rsidRPr="00B632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8E498" w14:textId="77777777" w:rsidR="00924A6E" w:rsidRDefault="00924A6E">
      <w:r>
        <w:separator/>
      </w:r>
    </w:p>
  </w:endnote>
  <w:endnote w:type="continuationSeparator" w:id="0">
    <w:p w14:paraId="4B0A8F04" w14:textId="77777777" w:rsidR="00924A6E" w:rsidRDefault="0092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025449"/>
    </w:sdtPr>
    <w:sdtEndPr/>
    <w:sdtContent>
      <w:p w14:paraId="687F33E6" w14:textId="77777777" w:rsidR="001C24A8" w:rsidRDefault="008853F0">
        <w:pPr>
          <w:pStyle w:val="a7"/>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FD732" w14:textId="77777777" w:rsidR="001C24A8" w:rsidRDefault="001C24A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37303" w14:textId="77777777" w:rsidR="00924A6E" w:rsidRDefault="00924A6E">
      <w:r>
        <w:separator/>
      </w:r>
    </w:p>
  </w:footnote>
  <w:footnote w:type="continuationSeparator" w:id="0">
    <w:p w14:paraId="5376FFA4" w14:textId="77777777" w:rsidR="00924A6E" w:rsidRDefault="00924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5E91" w14:textId="21AE017E" w:rsidR="001C24A8" w:rsidRPr="00B632FC" w:rsidRDefault="00B632FC" w:rsidP="00B632FC">
    <w:pPr>
      <w:pStyle w:val="a9"/>
      <w:jc w:val="both"/>
    </w:pPr>
    <w:r>
      <w:rPr>
        <w:rFonts w:hint="eastAsia"/>
      </w:rPr>
      <w:t>上海加宁律师事务所</w:t>
    </w:r>
    <w:r>
      <w:rPr>
        <w:rFonts w:hint="eastAsia"/>
      </w:rPr>
      <w:t xml:space="preserve"> </w:t>
    </w:r>
    <w:r>
      <w:t xml:space="preserve">                                                               </w:t>
    </w:r>
    <w:r>
      <w:rPr>
        <w:rFonts w:hint="eastAsia"/>
      </w:rPr>
      <w:t>法律意见书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EF334" w14:textId="77777777" w:rsidR="001C24A8" w:rsidRDefault="001C24A8">
    <w:pPr>
      <w:pStyle w:val="a9"/>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0356B"/>
    <w:multiLevelType w:val="multilevel"/>
    <w:tmpl w:val="7910356B"/>
    <w:lvl w:ilvl="0">
      <w:start w:val="1"/>
      <w:numFmt w:val="decimal"/>
      <w:lvlText w:val="%1."/>
      <w:lvlJc w:val="left"/>
      <w:pPr>
        <w:ind w:left="920" w:hanging="440"/>
      </w:pPr>
      <w:rPr>
        <w:rFonts w:hint="eastAsia"/>
      </w:rPr>
    </w:lvl>
    <w:lvl w:ilvl="1">
      <w:start w:val="1"/>
      <w:numFmt w:val="japaneseCounting"/>
      <w:lvlText w:val="%2、"/>
      <w:lvlJc w:val="left"/>
      <w:pPr>
        <w:ind w:left="1400" w:hanging="480"/>
      </w:pPr>
      <w:rPr>
        <w:rFonts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2OGU3MmZjNjc1NTIzZDlmZTdkYjJhNjEzNmQ1Y2IifQ=="/>
  </w:docVars>
  <w:rsids>
    <w:rsidRoot w:val="00106294"/>
    <w:rsid w:val="00005BE8"/>
    <w:rsid w:val="00005FD1"/>
    <w:rsid w:val="000147B0"/>
    <w:rsid w:val="00020B1D"/>
    <w:rsid w:val="00027DD6"/>
    <w:rsid w:val="0003235A"/>
    <w:rsid w:val="00033B03"/>
    <w:rsid w:val="000400C0"/>
    <w:rsid w:val="00041436"/>
    <w:rsid w:val="00042B69"/>
    <w:rsid w:val="00043DE7"/>
    <w:rsid w:val="000462AC"/>
    <w:rsid w:val="00046794"/>
    <w:rsid w:val="00064F09"/>
    <w:rsid w:val="00065838"/>
    <w:rsid w:val="000665DD"/>
    <w:rsid w:val="0007428E"/>
    <w:rsid w:val="00083890"/>
    <w:rsid w:val="00090325"/>
    <w:rsid w:val="00090D97"/>
    <w:rsid w:val="00092842"/>
    <w:rsid w:val="00094965"/>
    <w:rsid w:val="000A0BB6"/>
    <w:rsid w:val="000A28B8"/>
    <w:rsid w:val="000B1745"/>
    <w:rsid w:val="000B266F"/>
    <w:rsid w:val="000B3B5F"/>
    <w:rsid w:val="000C1C52"/>
    <w:rsid w:val="000C77DF"/>
    <w:rsid w:val="000D0A51"/>
    <w:rsid w:val="000D194D"/>
    <w:rsid w:val="000D3999"/>
    <w:rsid w:val="000E245B"/>
    <w:rsid w:val="000E5AFB"/>
    <w:rsid w:val="001006B6"/>
    <w:rsid w:val="0010252B"/>
    <w:rsid w:val="00104BB1"/>
    <w:rsid w:val="00106294"/>
    <w:rsid w:val="0010630F"/>
    <w:rsid w:val="0011036D"/>
    <w:rsid w:val="0011207F"/>
    <w:rsid w:val="001174B8"/>
    <w:rsid w:val="001217E9"/>
    <w:rsid w:val="00122558"/>
    <w:rsid w:val="00126693"/>
    <w:rsid w:val="001340B9"/>
    <w:rsid w:val="00134960"/>
    <w:rsid w:val="00141F24"/>
    <w:rsid w:val="0015080B"/>
    <w:rsid w:val="001539BB"/>
    <w:rsid w:val="001541B5"/>
    <w:rsid w:val="00155924"/>
    <w:rsid w:val="001563CA"/>
    <w:rsid w:val="00162F83"/>
    <w:rsid w:val="0017452B"/>
    <w:rsid w:val="00175E3E"/>
    <w:rsid w:val="00187186"/>
    <w:rsid w:val="001900EB"/>
    <w:rsid w:val="001918A9"/>
    <w:rsid w:val="001957E2"/>
    <w:rsid w:val="001A1B0B"/>
    <w:rsid w:val="001A2355"/>
    <w:rsid w:val="001A495C"/>
    <w:rsid w:val="001A4E94"/>
    <w:rsid w:val="001A5262"/>
    <w:rsid w:val="001A670C"/>
    <w:rsid w:val="001A70AF"/>
    <w:rsid w:val="001B436B"/>
    <w:rsid w:val="001B57BC"/>
    <w:rsid w:val="001C22B4"/>
    <w:rsid w:val="001C24A8"/>
    <w:rsid w:val="001C2E28"/>
    <w:rsid w:val="001C442C"/>
    <w:rsid w:val="001C55E6"/>
    <w:rsid w:val="001D19E2"/>
    <w:rsid w:val="001D1D74"/>
    <w:rsid w:val="001D36F0"/>
    <w:rsid w:val="001D6A8E"/>
    <w:rsid w:val="001D731A"/>
    <w:rsid w:val="001E07C0"/>
    <w:rsid w:val="001E2227"/>
    <w:rsid w:val="001E6A11"/>
    <w:rsid w:val="001F43EE"/>
    <w:rsid w:val="001F4A14"/>
    <w:rsid w:val="001F601B"/>
    <w:rsid w:val="00200432"/>
    <w:rsid w:val="0020079F"/>
    <w:rsid w:val="002031A8"/>
    <w:rsid w:val="00210C47"/>
    <w:rsid w:val="00212FB5"/>
    <w:rsid w:val="00220B39"/>
    <w:rsid w:val="00226A9C"/>
    <w:rsid w:val="00230ACB"/>
    <w:rsid w:val="00235B96"/>
    <w:rsid w:val="00235E68"/>
    <w:rsid w:val="00236C4D"/>
    <w:rsid w:val="00243D41"/>
    <w:rsid w:val="00247576"/>
    <w:rsid w:val="0025650E"/>
    <w:rsid w:val="002627A6"/>
    <w:rsid w:val="00270F36"/>
    <w:rsid w:val="00272D2C"/>
    <w:rsid w:val="00273079"/>
    <w:rsid w:val="00273458"/>
    <w:rsid w:val="002740BA"/>
    <w:rsid w:val="00280D28"/>
    <w:rsid w:val="00281117"/>
    <w:rsid w:val="00283AFF"/>
    <w:rsid w:val="00283E00"/>
    <w:rsid w:val="0029504D"/>
    <w:rsid w:val="002967FC"/>
    <w:rsid w:val="002A06F8"/>
    <w:rsid w:val="002A315E"/>
    <w:rsid w:val="002A323C"/>
    <w:rsid w:val="002A3EE4"/>
    <w:rsid w:val="002A4E50"/>
    <w:rsid w:val="002A5BA0"/>
    <w:rsid w:val="002A6653"/>
    <w:rsid w:val="002A74A5"/>
    <w:rsid w:val="002A7F70"/>
    <w:rsid w:val="002B06A9"/>
    <w:rsid w:val="002B6735"/>
    <w:rsid w:val="002B6750"/>
    <w:rsid w:val="002B70D7"/>
    <w:rsid w:val="002C1ABC"/>
    <w:rsid w:val="002D02FF"/>
    <w:rsid w:val="002D141F"/>
    <w:rsid w:val="002D30E9"/>
    <w:rsid w:val="002D47AC"/>
    <w:rsid w:val="002D5E4E"/>
    <w:rsid w:val="002D6E91"/>
    <w:rsid w:val="002D7FD3"/>
    <w:rsid w:val="002E0FEF"/>
    <w:rsid w:val="002E172B"/>
    <w:rsid w:val="002E331B"/>
    <w:rsid w:val="002F4B7A"/>
    <w:rsid w:val="002F4D9F"/>
    <w:rsid w:val="00301FDD"/>
    <w:rsid w:val="00315078"/>
    <w:rsid w:val="0032184E"/>
    <w:rsid w:val="00324D54"/>
    <w:rsid w:val="003271CB"/>
    <w:rsid w:val="0032797E"/>
    <w:rsid w:val="003302EF"/>
    <w:rsid w:val="00331C4D"/>
    <w:rsid w:val="00334629"/>
    <w:rsid w:val="00343A74"/>
    <w:rsid w:val="00352CB0"/>
    <w:rsid w:val="003549C5"/>
    <w:rsid w:val="003554D4"/>
    <w:rsid w:val="0035673F"/>
    <w:rsid w:val="003614A9"/>
    <w:rsid w:val="00363233"/>
    <w:rsid w:val="00363B3B"/>
    <w:rsid w:val="00364B0B"/>
    <w:rsid w:val="00366EA3"/>
    <w:rsid w:val="00370D6B"/>
    <w:rsid w:val="00374A72"/>
    <w:rsid w:val="00387B8F"/>
    <w:rsid w:val="003908BC"/>
    <w:rsid w:val="0039095F"/>
    <w:rsid w:val="003909B0"/>
    <w:rsid w:val="0039273A"/>
    <w:rsid w:val="00395EDE"/>
    <w:rsid w:val="0039658C"/>
    <w:rsid w:val="00397CB3"/>
    <w:rsid w:val="003A7A5A"/>
    <w:rsid w:val="003A7D35"/>
    <w:rsid w:val="003B3BA9"/>
    <w:rsid w:val="003B43BD"/>
    <w:rsid w:val="003C0627"/>
    <w:rsid w:val="003C1B2F"/>
    <w:rsid w:val="003C2357"/>
    <w:rsid w:val="003D63F7"/>
    <w:rsid w:val="003D6B10"/>
    <w:rsid w:val="003D6FBA"/>
    <w:rsid w:val="003D70F7"/>
    <w:rsid w:val="003E336A"/>
    <w:rsid w:val="003E66FB"/>
    <w:rsid w:val="003F020D"/>
    <w:rsid w:val="003F232C"/>
    <w:rsid w:val="003F3D9A"/>
    <w:rsid w:val="003F78AE"/>
    <w:rsid w:val="00401AF7"/>
    <w:rsid w:val="0040328A"/>
    <w:rsid w:val="00403CAA"/>
    <w:rsid w:val="004166C9"/>
    <w:rsid w:val="00420A71"/>
    <w:rsid w:val="0043490E"/>
    <w:rsid w:val="00434966"/>
    <w:rsid w:val="00436F49"/>
    <w:rsid w:val="00440DF3"/>
    <w:rsid w:val="0044108A"/>
    <w:rsid w:val="00447102"/>
    <w:rsid w:val="004477E8"/>
    <w:rsid w:val="00452717"/>
    <w:rsid w:val="004560D2"/>
    <w:rsid w:val="00457F47"/>
    <w:rsid w:val="00462456"/>
    <w:rsid w:val="00462FAF"/>
    <w:rsid w:val="00463D37"/>
    <w:rsid w:val="00463DE8"/>
    <w:rsid w:val="00471AB0"/>
    <w:rsid w:val="004728AD"/>
    <w:rsid w:val="00473804"/>
    <w:rsid w:val="004845E5"/>
    <w:rsid w:val="004868B8"/>
    <w:rsid w:val="00491167"/>
    <w:rsid w:val="004913A8"/>
    <w:rsid w:val="0049200D"/>
    <w:rsid w:val="00493C56"/>
    <w:rsid w:val="00493DDB"/>
    <w:rsid w:val="004C4186"/>
    <w:rsid w:val="004C5E08"/>
    <w:rsid w:val="004C6799"/>
    <w:rsid w:val="004D45F3"/>
    <w:rsid w:val="004E4162"/>
    <w:rsid w:val="004E51A4"/>
    <w:rsid w:val="004F22C5"/>
    <w:rsid w:val="004F4B3B"/>
    <w:rsid w:val="004F50D9"/>
    <w:rsid w:val="004F7811"/>
    <w:rsid w:val="00503A2A"/>
    <w:rsid w:val="00511F2F"/>
    <w:rsid w:val="005145B4"/>
    <w:rsid w:val="0051634C"/>
    <w:rsid w:val="00520A81"/>
    <w:rsid w:val="00521EFF"/>
    <w:rsid w:val="0052277E"/>
    <w:rsid w:val="00522C16"/>
    <w:rsid w:val="0052521C"/>
    <w:rsid w:val="005271E9"/>
    <w:rsid w:val="00543EFA"/>
    <w:rsid w:val="00546ADE"/>
    <w:rsid w:val="00546EA5"/>
    <w:rsid w:val="005502E2"/>
    <w:rsid w:val="005512A1"/>
    <w:rsid w:val="00554558"/>
    <w:rsid w:val="005550AA"/>
    <w:rsid w:val="005553E3"/>
    <w:rsid w:val="00556CF4"/>
    <w:rsid w:val="00557E20"/>
    <w:rsid w:val="00561F02"/>
    <w:rsid w:val="005672B8"/>
    <w:rsid w:val="0056790B"/>
    <w:rsid w:val="00567A51"/>
    <w:rsid w:val="005727F1"/>
    <w:rsid w:val="005768CA"/>
    <w:rsid w:val="00584638"/>
    <w:rsid w:val="0058487F"/>
    <w:rsid w:val="005928EF"/>
    <w:rsid w:val="00595518"/>
    <w:rsid w:val="005A0A1E"/>
    <w:rsid w:val="005A140C"/>
    <w:rsid w:val="005A220C"/>
    <w:rsid w:val="005A3438"/>
    <w:rsid w:val="005A36C5"/>
    <w:rsid w:val="005B0416"/>
    <w:rsid w:val="005B632E"/>
    <w:rsid w:val="005B7CEF"/>
    <w:rsid w:val="005C33F1"/>
    <w:rsid w:val="005C5DB0"/>
    <w:rsid w:val="005C752B"/>
    <w:rsid w:val="005D1E1F"/>
    <w:rsid w:val="005D2DD3"/>
    <w:rsid w:val="005D2E7C"/>
    <w:rsid w:val="005D527A"/>
    <w:rsid w:val="005E11A3"/>
    <w:rsid w:val="005E51EB"/>
    <w:rsid w:val="005F032A"/>
    <w:rsid w:val="005F3044"/>
    <w:rsid w:val="005F711E"/>
    <w:rsid w:val="00602FB7"/>
    <w:rsid w:val="00606B3F"/>
    <w:rsid w:val="006106B3"/>
    <w:rsid w:val="00614240"/>
    <w:rsid w:val="0061552C"/>
    <w:rsid w:val="006251AE"/>
    <w:rsid w:val="00631B44"/>
    <w:rsid w:val="00635D37"/>
    <w:rsid w:val="00641296"/>
    <w:rsid w:val="00646178"/>
    <w:rsid w:val="0065128C"/>
    <w:rsid w:val="00651C2B"/>
    <w:rsid w:val="006547D7"/>
    <w:rsid w:val="006574AA"/>
    <w:rsid w:val="00662FB6"/>
    <w:rsid w:val="00663C89"/>
    <w:rsid w:val="0066427B"/>
    <w:rsid w:val="0066616D"/>
    <w:rsid w:val="00672EDA"/>
    <w:rsid w:val="006749EF"/>
    <w:rsid w:val="0068015C"/>
    <w:rsid w:val="00680855"/>
    <w:rsid w:val="0068182A"/>
    <w:rsid w:val="00684A53"/>
    <w:rsid w:val="0068626B"/>
    <w:rsid w:val="0068666B"/>
    <w:rsid w:val="00687FB0"/>
    <w:rsid w:val="00690140"/>
    <w:rsid w:val="006904A3"/>
    <w:rsid w:val="00690BBB"/>
    <w:rsid w:val="00691899"/>
    <w:rsid w:val="00697B53"/>
    <w:rsid w:val="006A094B"/>
    <w:rsid w:val="006A2A6D"/>
    <w:rsid w:val="006A734C"/>
    <w:rsid w:val="006B09EA"/>
    <w:rsid w:val="006B7D24"/>
    <w:rsid w:val="006C1543"/>
    <w:rsid w:val="006C28F4"/>
    <w:rsid w:val="006C51F8"/>
    <w:rsid w:val="006D0444"/>
    <w:rsid w:val="006D0553"/>
    <w:rsid w:val="006D2832"/>
    <w:rsid w:val="006D4259"/>
    <w:rsid w:val="006D5C45"/>
    <w:rsid w:val="006D72B4"/>
    <w:rsid w:val="006D7BCE"/>
    <w:rsid w:val="006E0605"/>
    <w:rsid w:val="006E1206"/>
    <w:rsid w:val="006E6CEB"/>
    <w:rsid w:val="006F01D0"/>
    <w:rsid w:val="006F5358"/>
    <w:rsid w:val="006F5FF8"/>
    <w:rsid w:val="006F699D"/>
    <w:rsid w:val="00700EE5"/>
    <w:rsid w:val="00701047"/>
    <w:rsid w:val="007076FD"/>
    <w:rsid w:val="00707926"/>
    <w:rsid w:val="007163F8"/>
    <w:rsid w:val="00717A5E"/>
    <w:rsid w:val="007248F6"/>
    <w:rsid w:val="00725B9E"/>
    <w:rsid w:val="00727DFC"/>
    <w:rsid w:val="00732773"/>
    <w:rsid w:val="0073669F"/>
    <w:rsid w:val="007403B5"/>
    <w:rsid w:val="00742D5F"/>
    <w:rsid w:val="00746391"/>
    <w:rsid w:val="007607BC"/>
    <w:rsid w:val="00761A87"/>
    <w:rsid w:val="00762F13"/>
    <w:rsid w:val="0076477D"/>
    <w:rsid w:val="0076491E"/>
    <w:rsid w:val="00766108"/>
    <w:rsid w:val="00770165"/>
    <w:rsid w:val="00770905"/>
    <w:rsid w:val="007766F2"/>
    <w:rsid w:val="007851E2"/>
    <w:rsid w:val="00785BBC"/>
    <w:rsid w:val="007868DA"/>
    <w:rsid w:val="00786B66"/>
    <w:rsid w:val="00787015"/>
    <w:rsid w:val="00787F10"/>
    <w:rsid w:val="0079203B"/>
    <w:rsid w:val="00793837"/>
    <w:rsid w:val="00797ABC"/>
    <w:rsid w:val="007A0CB5"/>
    <w:rsid w:val="007B00CB"/>
    <w:rsid w:val="007B587A"/>
    <w:rsid w:val="007B65FB"/>
    <w:rsid w:val="007C061A"/>
    <w:rsid w:val="007C664E"/>
    <w:rsid w:val="007C6AE4"/>
    <w:rsid w:val="007C728F"/>
    <w:rsid w:val="007C7BA4"/>
    <w:rsid w:val="007D1243"/>
    <w:rsid w:val="007D2E2F"/>
    <w:rsid w:val="007D58CE"/>
    <w:rsid w:val="007D6CD1"/>
    <w:rsid w:val="007E1338"/>
    <w:rsid w:val="007E3EA7"/>
    <w:rsid w:val="007F0CF2"/>
    <w:rsid w:val="007F15C7"/>
    <w:rsid w:val="007F2155"/>
    <w:rsid w:val="007F7EBA"/>
    <w:rsid w:val="00801DA5"/>
    <w:rsid w:val="00806E93"/>
    <w:rsid w:val="00813FCE"/>
    <w:rsid w:val="00815CF7"/>
    <w:rsid w:val="008231CC"/>
    <w:rsid w:val="00823C4A"/>
    <w:rsid w:val="008240D8"/>
    <w:rsid w:val="008251DE"/>
    <w:rsid w:val="00826E34"/>
    <w:rsid w:val="00827498"/>
    <w:rsid w:val="0083247C"/>
    <w:rsid w:val="008348D9"/>
    <w:rsid w:val="00834D45"/>
    <w:rsid w:val="00835352"/>
    <w:rsid w:val="008362BB"/>
    <w:rsid w:val="0084213F"/>
    <w:rsid w:val="008435C1"/>
    <w:rsid w:val="00844AA7"/>
    <w:rsid w:val="008476B6"/>
    <w:rsid w:val="008516CF"/>
    <w:rsid w:val="008523F9"/>
    <w:rsid w:val="00853CC0"/>
    <w:rsid w:val="00856276"/>
    <w:rsid w:val="008568ED"/>
    <w:rsid w:val="00860EC4"/>
    <w:rsid w:val="008611FA"/>
    <w:rsid w:val="0086164A"/>
    <w:rsid w:val="0086335E"/>
    <w:rsid w:val="00870201"/>
    <w:rsid w:val="008773B3"/>
    <w:rsid w:val="00880B57"/>
    <w:rsid w:val="008816FD"/>
    <w:rsid w:val="00883625"/>
    <w:rsid w:val="008853F0"/>
    <w:rsid w:val="00885A22"/>
    <w:rsid w:val="008871C3"/>
    <w:rsid w:val="00887AE5"/>
    <w:rsid w:val="00891CAF"/>
    <w:rsid w:val="008955A8"/>
    <w:rsid w:val="0089560A"/>
    <w:rsid w:val="00896B22"/>
    <w:rsid w:val="00897A2C"/>
    <w:rsid w:val="008A1DC9"/>
    <w:rsid w:val="008A4EB7"/>
    <w:rsid w:val="008A5392"/>
    <w:rsid w:val="008A54A5"/>
    <w:rsid w:val="008B458D"/>
    <w:rsid w:val="008B55A6"/>
    <w:rsid w:val="008C59C3"/>
    <w:rsid w:val="008C5CC8"/>
    <w:rsid w:val="008C66C4"/>
    <w:rsid w:val="008C7BE7"/>
    <w:rsid w:val="008D22AE"/>
    <w:rsid w:val="008D2ACB"/>
    <w:rsid w:val="008D68C9"/>
    <w:rsid w:val="008E1BA5"/>
    <w:rsid w:val="008E6F01"/>
    <w:rsid w:val="008F1DB8"/>
    <w:rsid w:val="008F3BA1"/>
    <w:rsid w:val="008F5142"/>
    <w:rsid w:val="00902FCE"/>
    <w:rsid w:val="0090429D"/>
    <w:rsid w:val="0090439E"/>
    <w:rsid w:val="009048FF"/>
    <w:rsid w:val="00907FCD"/>
    <w:rsid w:val="00917C6A"/>
    <w:rsid w:val="00917D89"/>
    <w:rsid w:val="009246B8"/>
    <w:rsid w:val="00924A6E"/>
    <w:rsid w:val="00925560"/>
    <w:rsid w:val="00933371"/>
    <w:rsid w:val="00937921"/>
    <w:rsid w:val="0094072D"/>
    <w:rsid w:val="009425F7"/>
    <w:rsid w:val="00944E64"/>
    <w:rsid w:val="0095006C"/>
    <w:rsid w:val="009512D7"/>
    <w:rsid w:val="00951CC8"/>
    <w:rsid w:val="009527EE"/>
    <w:rsid w:val="00960D6E"/>
    <w:rsid w:val="00961773"/>
    <w:rsid w:val="0096279E"/>
    <w:rsid w:val="009726F4"/>
    <w:rsid w:val="00972869"/>
    <w:rsid w:val="00981E7D"/>
    <w:rsid w:val="009848A8"/>
    <w:rsid w:val="00987156"/>
    <w:rsid w:val="009974E0"/>
    <w:rsid w:val="009A1A38"/>
    <w:rsid w:val="009A1C9F"/>
    <w:rsid w:val="009A3F6D"/>
    <w:rsid w:val="009A63F8"/>
    <w:rsid w:val="009A7778"/>
    <w:rsid w:val="009B069B"/>
    <w:rsid w:val="009B19C2"/>
    <w:rsid w:val="009B2320"/>
    <w:rsid w:val="009B5C88"/>
    <w:rsid w:val="009B6598"/>
    <w:rsid w:val="009C30D1"/>
    <w:rsid w:val="009C3C80"/>
    <w:rsid w:val="009C6135"/>
    <w:rsid w:val="009C6B1B"/>
    <w:rsid w:val="009D66A7"/>
    <w:rsid w:val="009D79C4"/>
    <w:rsid w:val="009E79F6"/>
    <w:rsid w:val="009E7D0B"/>
    <w:rsid w:val="009F29E9"/>
    <w:rsid w:val="00A0212C"/>
    <w:rsid w:val="00A060C2"/>
    <w:rsid w:val="00A1398F"/>
    <w:rsid w:val="00A17956"/>
    <w:rsid w:val="00A23066"/>
    <w:rsid w:val="00A2396E"/>
    <w:rsid w:val="00A23E7E"/>
    <w:rsid w:val="00A2536E"/>
    <w:rsid w:val="00A30364"/>
    <w:rsid w:val="00A322A2"/>
    <w:rsid w:val="00A32A9B"/>
    <w:rsid w:val="00A334D8"/>
    <w:rsid w:val="00A35856"/>
    <w:rsid w:val="00A358CE"/>
    <w:rsid w:val="00A417CF"/>
    <w:rsid w:val="00A5015A"/>
    <w:rsid w:val="00A52EFF"/>
    <w:rsid w:val="00A553A2"/>
    <w:rsid w:val="00A553C4"/>
    <w:rsid w:val="00A555ED"/>
    <w:rsid w:val="00A57B38"/>
    <w:rsid w:val="00A650A8"/>
    <w:rsid w:val="00A70F71"/>
    <w:rsid w:val="00A70F8E"/>
    <w:rsid w:val="00A76B28"/>
    <w:rsid w:val="00A76C45"/>
    <w:rsid w:val="00A801B3"/>
    <w:rsid w:val="00A82ED4"/>
    <w:rsid w:val="00A867AC"/>
    <w:rsid w:val="00A919FC"/>
    <w:rsid w:val="00A921AB"/>
    <w:rsid w:val="00A9309F"/>
    <w:rsid w:val="00AA3BCA"/>
    <w:rsid w:val="00AB1DB6"/>
    <w:rsid w:val="00AB2881"/>
    <w:rsid w:val="00AB45AC"/>
    <w:rsid w:val="00AB4622"/>
    <w:rsid w:val="00AB7073"/>
    <w:rsid w:val="00AC100E"/>
    <w:rsid w:val="00AC5014"/>
    <w:rsid w:val="00AC6272"/>
    <w:rsid w:val="00AD0A9B"/>
    <w:rsid w:val="00AD4CBA"/>
    <w:rsid w:val="00AE3886"/>
    <w:rsid w:val="00AE4EF8"/>
    <w:rsid w:val="00AE4F2C"/>
    <w:rsid w:val="00AE7265"/>
    <w:rsid w:val="00AF22B4"/>
    <w:rsid w:val="00B009BA"/>
    <w:rsid w:val="00B00B10"/>
    <w:rsid w:val="00B03E1A"/>
    <w:rsid w:val="00B252E1"/>
    <w:rsid w:val="00B30277"/>
    <w:rsid w:val="00B3490C"/>
    <w:rsid w:val="00B35C0D"/>
    <w:rsid w:val="00B36993"/>
    <w:rsid w:val="00B375AA"/>
    <w:rsid w:val="00B45501"/>
    <w:rsid w:val="00B468A6"/>
    <w:rsid w:val="00B47E2E"/>
    <w:rsid w:val="00B505A5"/>
    <w:rsid w:val="00B55175"/>
    <w:rsid w:val="00B574B0"/>
    <w:rsid w:val="00B62AF9"/>
    <w:rsid w:val="00B632FC"/>
    <w:rsid w:val="00B65C3A"/>
    <w:rsid w:val="00B66416"/>
    <w:rsid w:val="00B664A7"/>
    <w:rsid w:val="00B7227C"/>
    <w:rsid w:val="00B87CA4"/>
    <w:rsid w:val="00B939AC"/>
    <w:rsid w:val="00B942CE"/>
    <w:rsid w:val="00B969CE"/>
    <w:rsid w:val="00B97994"/>
    <w:rsid w:val="00BA0E0D"/>
    <w:rsid w:val="00BA3194"/>
    <w:rsid w:val="00BA76F1"/>
    <w:rsid w:val="00BB2F61"/>
    <w:rsid w:val="00BB7291"/>
    <w:rsid w:val="00BB76A3"/>
    <w:rsid w:val="00BC1AC3"/>
    <w:rsid w:val="00BC2802"/>
    <w:rsid w:val="00BC65F7"/>
    <w:rsid w:val="00BC6F16"/>
    <w:rsid w:val="00BD60EE"/>
    <w:rsid w:val="00BE0BD8"/>
    <w:rsid w:val="00BE6BC8"/>
    <w:rsid w:val="00BE7011"/>
    <w:rsid w:val="00BE713D"/>
    <w:rsid w:val="00BF01FC"/>
    <w:rsid w:val="00BF42FF"/>
    <w:rsid w:val="00C001BE"/>
    <w:rsid w:val="00C03521"/>
    <w:rsid w:val="00C068D8"/>
    <w:rsid w:val="00C11C58"/>
    <w:rsid w:val="00C168EE"/>
    <w:rsid w:val="00C21B8A"/>
    <w:rsid w:val="00C258F6"/>
    <w:rsid w:val="00C27569"/>
    <w:rsid w:val="00C27A46"/>
    <w:rsid w:val="00C33388"/>
    <w:rsid w:val="00C33BB5"/>
    <w:rsid w:val="00C34A85"/>
    <w:rsid w:val="00C34FFE"/>
    <w:rsid w:val="00C44EB9"/>
    <w:rsid w:val="00C47B06"/>
    <w:rsid w:val="00C568A6"/>
    <w:rsid w:val="00C61913"/>
    <w:rsid w:val="00C62038"/>
    <w:rsid w:val="00C712C7"/>
    <w:rsid w:val="00C71D13"/>
    <w:rsid w:val="00C73C3A"/>
    <w:rsid w:val="00C73F15"/>
    <w:rsid w:val="00C74EA8"/>
    <w:rsid w:val="00C77A9E"/>
    <w:rsid w:val="00C80B07"/>
    <w:rsid w:val="00C85550"/>
    <w:rsid w:val="00C861BD"/>
    <w:rsid w:val="00C90799"/>
    <w:rsid w:val="00C91DED"/>
    <w:rsid w:val="00C952FB"/>
    <w:rsid w:val="00C9782D"/>
    <w:rsid w:val="00CA1282"/>
    <w:rsid w:val="00CA2772"/>
    <w:rsid w:val="00CA6A19"/>
    <w:rsid w:val="00CA7527"/>
    <w:rsid w:val="00CB0C10"/>
    <w:rsid w:val="00CB2060"/>
    <w:rsid w:val="00CB684A"/>
    <w:rsid w:val="00CD1D0C"/>
    <w:rsid w:val="00CE1B00"/>
    <w:rsid w:val="00CF03DE"/>
    <w:rsid w:val="00CF3A04"/>
    <w:rsid w:val="00CF51B4"/>
    <w:rsid w:val="00D01C25"/>
    <w:rsid w:val="00D032BC"/>
    <w:rsid w:val="00D0553D"/>
    <w:rsid w:val="00D07AF6"/>
    <w:rsid w:val="00D1478B"/>
    <w:rsid w:val="00D15032"/>
    <w:rsid w:val="00D15D53"/>
    <w:rsid w:val="00D16EB0"/>
    <w:rsid w:val="00D219A8"/>
    <w:rsid w:val="00D2323B"/>
    <w:rsid w:val="00D25230"/>
    <w:rsid w:val="00D32AA4"/>
    <w:rsid w:val="00D36F92"/>
    <w:rsid w:val="00D37F34"/>
    <w:rsid w:val="00D409B3"/>
    <w:rsid w:val="00D43061"/>
    <w:rsid w:val="00D4552F"/>
    <w:rsid w:val="00D56423"/>
    <w:rsid w:val="00D63792"/>
    <w:rsid w:val="00D6665B"/>
    <w:rsid w:val="00D67859"/>
    <w:rsid w:val="00D706F1"/>
    <w:rsid w:val="00D73AD4"/>
    <w:rsid w:val="00D7530A"/>
    <w:rsid w:val="00D77767"/>
    <w:rsid w:val="00D81301"/>
    <w:rsid w:val="00D85D1D"/>
    <w:rsid w:val="00D86B42"/>
    <w:rsid w:val="00D9251D"/>
    <w:rsid w:val="00D9538F"/>
    <w:rsid w:val="00D9740B"/>
    <w:rsid w:val="00D979DC"/>
    <w:rsid w:val="00DA1E2C"/>
    <w:rsid w:val="00DA2291"/>
    <w:rsid w:val="00DA79A3"/>
    <w:rsid w:val="00DB2FE6"/>
    <w:rsid w:val="00DB3BF1"/>
    <w:rsid w:val="00DB4DB9"/>
    <w:rsid w:val="00DB737F"/>
    <w:rsid w:val="00DB740A"/>
    <w:rsid w:val="00DC3FDC"/>
    <w:rsid w:val="00DC56F5"/>
    <w:rsid w:val="00DD76A0"/>
    <w:rsid w:val="00DE425A"/>
    <w:rsid w:val="00DE63F3"/>
    <w:rsid w:val="00DF351A"/>
    <w:rsid w:val="00E00E62"/>
    <w:rsid w:val="00E00EFC"/>
    <w:rsid w:val="00E02068"/>
    <w:rsid w:val="00E024EA"/>
    <w:rsid w:val="00E02C8A"/>
    <w:rsid w:val="00E05290"/>
    <w:rsid w:val="00E15CC5"/>
    <w:rsid w:val="00E170BD"/>
    <w:rsid w:val="00E2012B"/>
    <w:rsid w:val="00E20CE7"/>
    <w:rsid w:val="00E24386"/>
    <w:rsid w:val="00E25B42"/>
    <w:rsid w:val="00E25CF1"/>
    <w:rsid w:val="00E46C34"/>
    <w:rsid w:val="00E5066D"/>
    <w:rsid w:val="00E521AC"/>
    <w:rsid w:val="00E529EB"/>
    <w:rsid w:val="00E536F4"/>
    <w:rsid w:val="00E53A8F"/>
    <w:rsid w:val="00E656F9"/>
    <w:rsid w:val="00E71DEA"/>
    <w:rsid w:val="00E73BE6"/>
    <w:rsid w:val="00E760E5"/>
    <w:rsid w:val="00E8175B"/>
    <w:rsid w:val="00E83907"/>
    <w:rsid w:val="00E87B37"/>
    <w:rsid w:val="00E91A15"/>
    <w:rsid w:val="00E953F2"/>
    <w:rsid w:val="00EA4224"/>
    <w:rsid w:val="00EA42BC"/>
    <w:rsid w:val="00EA454C"/>
    <w:rsid w:val="00EA676C"/>
    <w:rsid w:val="00EC2F89"/>
    <w:rsid w:val="00EC4ECF"/>
    <w:rsid w:val="00EC4EF6"/>
    <w:rsid w:val="00EC63E1"/>
    <w:rsid w:val="00ED0AEA"/>
    <w:rsid w:val="00ED1350"/>
    <w:rsid w:val="00ED1A25"/>
    <w:rsid w:val="00ED2918"/>
    <w:rsid w:val="00EE0035"/>
    <w:rsid w:val="00EE1253"/>
    <w:rsid w:val="00EE54CA"/>
    <w:rsid w:val="00EE5ECB"/>
    <w:rsid w:val="00EE78C8"/>
    <w:rsid w:val="00EF2E20"/>
    <w:rsid w:val="00EF2FA0"/>
    <w:rsid w:val="00EF3E33"/>
    <w:rsid w:val="00F0528E"/>
    <w:rsid w:val="00F06354"/>
    <w:rsid w:val="00F07C63"/>
    <w:rsid w:val="00F154C7"/>
    <w:rsid w:val="00F20824"/>
    <w:rsid w:val="00F240D8"/>
    <w:rsid w:val="00F26DF8"/>
    <w:rsid w:val="00F31472"/>
    <w:rsid w:val="00F33C36"/>
    <w:rsid w:val="00F3572A"/>
    <w:rsid w:val="00F372C5"/>
    <w:rsid w:val="00F437C1"/>
    <w:rsid w:val="00F469C1"/>
    <w:rsid w:val="00F5062F"/>
    <w:rsid w:val="00F5286C"/>
    <w:rsid w:val="00F52F04"/>
    <w:rsid w:val="00F532C2"/>
    <w:rsid w:val="00F550B3"/>
    <w:rsid w:val="00F60C8C"/>
    <w:rsid w:val="00F63735"/>
    <w:rsid w:val="00F64B5E"/>
    <w:rsid w:val="00F65D1E"/>
    <w:rsid w:val="00F65DCA"/>
    <w:rsid w:val="00F71025"/>
    <w:rsid w:val="00F73032"/>
    <w:rsid w:val="00F745BD"/>
    <w:rsid w:val="00F80261"/>
    <w:rsid w:val="00F83142"/>
    <w:rsid w:val="00F832C1"/>
    <w:rsid w:val="00F84E90"/>
    <w:rsid w:val="00F876A4"/>
    <w:rsid w:val="00F96C2D"/>
    <w:rsid w:val="00F978AB"/>
    <w:rsid w:val="00F97D16"/>
    <w:rsid w:val="00FA1789"/>
    <w:rsid w:val="00FB08E3"/>
    <w:rsid w:val="00FB3C22"/>
    <w:rsid w:val="00FB3E47"/>
    <w:rsid w:val="00FB66C7"/>
    <w:rsid w:val="00FB7B5F"/>
    <w:rsid w:val="00FC0B84"/>
    <w:rsid w:val="00FC2C4A"/>
    <w:rsid w:val="00FC3D2F"/>
    <w:rsid w:val="00FC486E"/>
    <w:rsid w:val="00FC6A00"/>
    <w:rsid w:val="00FE28C1"/>
    <w:rsid w:val="00FE2AC8"/>
    <w:rsid w:val="00FE5E8A"/>
    <w:rsid w:val="00FE785E"/>
    <w:rsid w:val="00FF14B4"/>
    <w:rsid w:val="00FF41FA"/>
    <w:rsid w:val="00FF7684"/>
    <w:rsid w:val="04300351"/>
    <w:rsid w:val="19A404F8"/>
    <w:rsid w:val="1BB72763"/>
    <w:rsid w:val="4F143388"/>
    <w:rsid w:val="79E75231"/>
    <w:rsid w:val="7CAFB6CD"/>
    <w:rsid w:val="7F911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236DA"/>
  <w15:docId w15:val="{1DEC4718-3F2C-44DE-AB90-AD5025E9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jc w:val="center"/>
      <w:outlineLvl w:val="1"/>
    </w:pPr>
    <w:rPr>
      <w:b/>
      <w:sz w:val="24"/>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qFormat/>
    <w:pPr>
      <w:snapToGrid w:val="0"/>
      <w:jc w:val="left"/>
    </w:pPr>
    <w:rPr>
      <w:sz w:val="18"/>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
    <w:name w:val="Hyperlink"/>
    <w:basedOn w:val="a0"/>
    <w:qFormat/>
    <w:rPr>
      <w:color w:val="0000FF"/>
      <w:u w:val="single"/>
    </w:rPr>
  </w:style>
  <w:style w:type="character" w:styleId="af0">
    <w:name w:val="annotation reference"/>
    <w:basedOn w:val="a0"/>
    <w:uiPriority w:val="99"/>
    <w:semiHidden/>
    <w:unhideWhenUsed/>
    <w:qFormat/>
    <w:rPr>
      <w:sz w:val="21"/>
      <w:szCs w:val="21"/>
    </w:rPr>
  </w:style>
  <w:style w:type="paragraph" w:styleId="af1">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customStyle="1" w:styleId="11">
    <w:name w:val="修订1"/>
    <w:hidden/>
    <w:uiPriority w:val="99"/>
    <w:semiHidden/>
    <w:qFormat/>
    <w:rPr>
      <w:kern w:val="2"/>
      <w:sz w:val="21"/>
      <w:szCs w:val="24"/>
    </w:rPr>
  </w:style>
  <w:style w:type="character" w:customStyle="1" w:styleId="20">
    <w:name w:val="标题 2 字符"/>
    <w:basedOn w:val="a0"/>
    <w:link w:val="2"/>
    <w:qFormat/>
    <w:rPr>
      <w:rFonts w:ascii="Times New Roman" w:eastAsia="宋体" w:hAnsi="Times New Roman" w:cs="Times New Roman"/>
      <w:b/>
      <w:sz w:val="24"/>
      <w:szCs w:val="24"/>
    </w:r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30">
    <w:name w:val="标题 3 字符"/>
    <w:basedOn w:val="a0"/>
    <w:link w:val="3"/>
    <w:uiPriority w:val="9"/>
    <w:qFormat/>
    <w:rPr>
      <w:b/>
      <w:bCs/>
      <w:kern w:val="2"/>
      <w:sz w:val="32"/>
      <w:szCs w:val="32"/>
    </w:rPr>
  </w:style>
  <w:style w:type="character" w:customStyle="1" w:styleId="13">
    <w:name w:val="不明显参考1"/>
    <w:basedOn w:val="a0"/>
    <w:uiPriority w:val="31"/>
    <w:qFormat/>
    <w:rPr>
      <w:smallCaps/>
      <w:color w:val="595959" w:themeColor="text1" w:themeTint="A6"/>
    </w:rPr>
  </w:style>
  <w:style w:type="paragraph" w:customStyle="1" w:styleId="22">
    <w:name w:val="修订2"/>
    <w:hidden/>
    <w:uiPriority w:val="99"/>
    <w:semiHidden/>
    <w:qFormat/>
    <w:rPr>
      <w:kern w:val="2"/>
      <w:sz w:val="21"/>
      <w:szCs w:val="24"/>
    </w:rPr>
  </w:style>
  <w:style w:type="paragraph" w:customStyle="1" w:styleId="31">
    <w:name w:val="修订3"/>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AF7242C-199F-4679-A246-DB768F0E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369</Words>
  <Characters>2105</Characters>
  <Application>Microsoft Office Word</Application>
  <DocSecurity>0</DocSecurity>
  <Lines>17</Lines>
  <Paragraphs>4</Paragraphs>
  <ScaleCrop>false</ScaleCrop>
  <Company>Lenovo</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Tang, Tianying</dc:creator>
  <cp:lastModifiedBy>Qian, Beini</cp:lastModifiedBy>
  <cp:revision>5</cp:revision>
  <cp:lastPrinted>2015-03-19T02:15:00Z</cp:lastPrinted>
  <dcterms:created xsi:type="dcterms:W3CDTF">2025-01-07T01:47:00Z</dcterms:created>
  <dcterms:modified xsi:type="dcterms:W3CDTF">2025-01-07T01:54:00Z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2D93B70A94462B728D7AFA64BE1A21EB_43</vt:lpwstr>
  </property>
</Properties>
</file>