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E308" w14:textId="77A6DBF5"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2E19">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84290B">
        <w:rPr>
          <w:rFonts w:asciiTheme="minorEastAsia" w:eastAsiaTheme="minorEastAsia" w:hAnsiTheme="minorEastAsia" w:cs="宋体"/>
          <w:b/>
          <w:kern w:val="0"/>
        </w:rPr>
        <w:t>0</w:t>
      </w:r>
      <w:r w:rsidR="000947ED">
        <w:rPr>
          <w:rFonts w:asciiTheme="minorEastAsia" w:eastAsiaTheme="minorEastAsia" w:hAnsiTheme="minorEastAsia" w:cs="宋体"/>
          <w:b/>
          <w:kern w:val="0"/>
        </w:rPr>
        <w:t>0</w:t>
      </w:r>
      <w:r w:rsidR="00BD4C06">
        <w:rPr>
          <w:rFonts w:asciiTheme="minorEastAsia" w:eastAsiaTheme="minorEastAsia" w:hAnsiTheme="minorEastAsia" w:cs="宋体"/>
          <w:b/>
          <w:kern w:val="0"/>
        </w:rPr>
        <w:t>4</w:t>
      </w:r>
    </w:p>
    <w:p w14:paraId="346E676D" w14:textId="77777777" w:rsidR="00097E5B" w:rsidRDefault="00097E5B" w:rsidP="00365AAE">
      <w:pPr>
        <w:jc w:val="center"/>
        <w:outlineLvl w:val="0"/>
        <w:rPr>
          <w:rFonts w:asciiTheme="minorEastAsia" w:eastAsiaTheme="minorEastAsia" w:hAnsiTheme="minorEastAsia" w:cs="宋体"/>
          <w:b/>
          <w:kern w:val="0"/>
          <w:sz w:val="24"/>
        </w:rPr>
      </w:pPr>
    </w:p>
    <w:p w14:paraId="5ECD6DF8" w14:textId="77777777" w:rsidR="005A2FEE" w:rsidRDefault="00365AAE" w:rsidP="0054568F">
      <w:pPr>
        <w:spacing w:beforeLines="50" w:before="156" w:afterLines="50" w:after="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0AC4895F" w:rsidR="0062413F" w:rsidRPr="00F62277" w:rsidRDefault="0020111B" w:rsidP="00DA4AEA">
      <w:pPr>
        <w:spacing w:beforeLines="50" w:before="156" w:afterLines="50" w:after="156"/>
        <w:jc w:val="center"/>
        <w:outlineLvl w:val="0"/>
        <w:rPr>
          <w:rFonts w:asciiTheme="minorEastAsia" w:eastAsiaTheme="minorEastAsia" w:hAnsiTheme="minorEastAsia"/>
          <w:b/>
          <w:sz w:val="32"/>
          <w:szCs w:val="32"/>
        </w:rPr>
      </w:pPr>
      <w:r w:rsidRPr="0020111B">
        <w:rPr>
          <w:rFonts w:asciiTheme="minorEastAsia" w:eastAsiaTheme="minorEastAsia" w:hAnsiTheme="minorEastAsia" w:hint="eastAsia"/>
          <w:b/>
          <w:sz w:val="32"/>
          <w:szCs w:val="32"/>
        </w:rPr>
        <w:t>关于撤销部分退市风险警示及部分其他风险警示暨继续被实施退市风险警示及其他风险警示暨</w:t>
      </w:r>
      <w:r w:rsidR="00E57FB7">
        <w:rPr>
          <w:rFonts w:asciiTheme="minorEastAsia" w:eastAsiaTheme="minorEastAsia" w:hAnsiTheme="minorEastAsia" w:hint="eastAsia"/>
          <w:b/>
          <w:sz w:val="32"/>
          <w:szCs w:val="32"/>
        </w:rPr>
        <w:t>公司股票</w:t>
      </w:r>
      <w:r w:rsidRPr="0020111B">
        <w:rPr>
          <w:rFonts w:asciiTheme="minorEastAsia" w:eastAsiaTheme="minorEastAsia" w:hAnsiTheme="minorEastAsia" w:hint="eastAsia"/>
          <w:b/>
          <w:sz w:val="32"/>
          <w:szCs w:val="32"/>
        </w:rPr>
        <w:t>复牌的公告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66B88EC" w14:textId="77815A94" w:rsidR="00FB05AE" w:rsidRDefault="00FB05AE" w:rsidP="00691D19">
      <w:pPr>
        <w:spacing w:beforeLines="100" w:before="312" w:line="360" w:lineRule="auto"/>
        <w:ind w:firstLineChars="200" w:firstLine="482"/>
        <w:rPr>
          <w:rFonts w:asciiTheme="minorEastAsia" w:eastAsiaTheme="minorEastAsia" w:hAnsiTheme="minorEastAsia"/>
          <w:b/>
          <w:bCs/>
          <w:sz w:val="24"/>
          <w:szCs w:val="28"/>
        </w:rPr>
      </w:pPr>
      <w:r w:rsidRPr="00FB05AE">
        <w:rPr>
          <w:rFonts w:asciiTheme="minorEastAsia" w:eastAsiaTheme="minorEastAsia" w:hAnsiTheme="minorEastAsia" w:hint="eastAsia"/>
          <w:b/>
          <w:bCs/>
          <w:sz w:val="24"/>
          <w:szCs w:val="28"/>
        </w:rPr>
        <w:t>特别提示：</w:t>
      </w:r>
    </w:p>
    <w:p w14:paraId="1DCAEABF" w14:textId="4582366F" w:rsidR="002341F8" w:rsidRDefault="005A2FEE" w:rsidP="00A10877">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1、</w:t>
      </w:r>
      <w:r w:rsidR="00A10877" w:rsidRPr="00A10877">
        <w:rPr>
          <w:rFonts w:asciiTheme="minorEastAsia" w:eastAsiaTheme="minorEastAsia" w:hAnsiTheme="minorEastAsia" w:hint="eastAsia"/>
          <w:sz w:val="24"/>
          <w:szCs w:val="28"/>
        </w:rPr>
        <w:t>江苏中利集团股份有限公司（以下简称“公司”</w:t>
      </w:r>
      <w:r w:rsidR="001F2DA6">
        <w:rPr>
          <w:rFonts w:asciiTheme="minorEastAsia" w:eastAsiaTheme="minorEastAsia" w:hAnsiTheme="minorEastAsia" w:hint="eastAsia"/>
          <w:sz w:val="24"/>
          <w:szCs w:val="28"/>
        </w:rPr>
        <w:t>）收到苏州市中级人民法院（以下简称“苏州中院”</w:t>
      </w:r>
      <w:r w:rsidR="00A10877" w:rsidRPr="00A10877">
        <w:rPr>
          <w:rFonts w:asciiTheme="minorEastAsia" w:eastAsiaTheme="minorEastAsia" w:hAnsiTheme="minorEastAsia" w:hint="eastAsia"/>
          <w:sz w:val="24"/>
          <w:szCs w:val="28"/>
        </w:rPr>
        <w:t>）送达的（2024）苏</w:t>
      </w:r>
      <w:r w:rsidR="00A10877">
        <w:rPr>
          <w:rFonts w:asciiTheme="minorEastAsia" w:eastAsiaTheme="minorEastAsia" w:hAnsiTheme="minorEastAsia" w:hint="eastAsia"/>
          <w:sz w:val="24"/>
          <w:szCs w:val="28"/>
        </w:rPr>
        <w:t>05</w:t>
      </w:r>
      <w:r w:rsidR="00A10877" w:rsidRPr="00A10877">
        <w:rPr>
          <w:rFonts w:asciiTheme="minorEastAsia" w:eastAsiaTheme="minorEastAsia" w:hAnsiTheme="minorEastAsia" w:hint="eastAsia"/>
          <w:sz w:val="24"/>
          <w:szCs w:val="28"/>
        </w:rPr>
        <w:t>破</w:t>
      </w:r>
      <w:r w:rsidR="00A10877">
        <w:rPr>
          <w:rFonts w:asciiTheme="minorEastAsia" w:eastAsiaTheme="minorEastAsia" w:hAnsiTheme="minorEastAsia" w:hint="eastAsia"/>
          <w:sz w:val="24"/>
          <w:szCs w:val="28"/>
        </w:rPr>
        <w:t>50</w:t>
      </w:r>
      <w:r w:rsidR="00A10877" w:rsidRPr="00A10877">
        <w:rPr>
          <w:rFonts w:asciiTheme="minorEastAsia" w:eastAsiaTheme="minorEastAsia" w:hAnsiTheme="minorEastAsia" w:hint="eastAsia"/>
          <w:sz w:val="24"/>
          <w:szCs w:val="28"/>
        </w:rPr>
        <w:t>号之四《民事裁定书》，裁定确认公司重整计划执行完毕</w:t>
      </w:r>
      <w:r w:rsidR="00DA05EF">
        <w:rPr>
          <w:rFonts w:asciiTheme="minorEastAsia" w:eastAsiaTheme="minorEastAsia" w:hAnsiTheme="minorEastAsia" w:hint="eastAsia"/>
          <w:sz w:val="24"/>
          <w:szCs w:val="28"/>
        </w:rPr>
        <w:t>并</w:t>
      </w:r>
      <w:r w:rsidR="00A10877" w:rsidRPr="00A10877">
        <w:rPr>
          <w:rFonts w:asciiTheme="minorEastAsia" w:eastAsiaTheme="minorEastAsia" w:hAnsiTheme="minorEastAsia" w:hint="eastAsia"/>
          <w:sz w:val="24"/>
          <w:szCs w:val="28"/>
        </w:rPr>
        <w:t>终结公司重整程序</w:t>
      </w:r>
      <w:r w:rsidR="00DA05EF">
        <w:rPr>
          <w:rFonts w:asciiTheme="minorEastAsia" w:eastAsiaTheme="minorEastAsia" w:hAnsiTheme="minorEastAsia" w:hint="eastAsia"/>
          <w:sz w:val="24"/>
          <w:szCs w:val="28"/>
        </w:rPr>
        <w:t>。</w:t>
      </w:r>
      <w:r w:rsidR="0037486A">
        <w:rPr>
          <w:rFonts w:asciiTheme="minorEastAsia" w:eastAsiaTheme="minorEastAsia" w:hAnsiTheme="minorEastAsia" w:hint="eastAsia"/>
          <w:sz w:val="24"/>
          <w:szCs w:val="28"/>
        </w:rPr>
        <w:t>公司因被</w:t>
      </w:r>
      <w:r w:rsidR="001F2DA6">
        <w:rPr>
          <w:rFonts w:asciiTheme="minorEastAsia" w:eastAsiaTheme="minorEastAsia" w:hAnsiTheme="minorEastAsia" w:hint="eastAsia"/>
          <w:sz w:val="24"/>
          <w:szCs w:val="28"/>
        </w:rPr>
        <w:t>苏州中院</w:t>
      </w:r>
      <w:r w:rsidR="0037486A">
        <w:rPr>
          <w:rFonts w:asciiTheme="minorEastAsia" w:eastAsiaTheme="minorEastAsia" w:hAnsiTheme="minorEastAsia" w:hint="eastAsia"/>
          <w:sz w:val="24"/>
          <w:szCs w:val="28"/>
        </w:rPr>
        <w:t>裁定受理重整</w:t>
      </w:r>
      <w:r w:rsidR="0077387C">
        <w:rPr>
          <w:rFonts w:asciiTheme="minorEastAsia" w:eastAsiaTheme="minorEastAsia" w:hAnsiTheme="minorEastAsia" w:hint="eastAsia"/>
          <w:sz w:val="24"/>
          <w:szCs w:val="28"/>
        </w:rPr>
        <w:t>而触及</w:t>
      </w:r>
      <w:r w:rsidR="0037486A">
        <w:rPr>
          <w:rFonts w:asciiTheme="minorEastAsia" w:eastAsiaTheme="minorEastAsia" w:hAnsiTheme="minorEastAsia" w:hint="eastAsia"/>
          <w:sz w:val="24"/>
          <w:szCs w:val="28"/>
        </w:rPr>
        <w:t>的退市风险警示情形已经消除。</w:t>
      </w:r>
    </w:p>
    <w:p w14:paraId="7C45B515" w14:textId="2D3A1E69" w:rsidR="00BB169F" w:rsidRDefault="0037486A" w:rsidP="002341F8">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2、</w:t>
      </w:r>
      <w:r w:rsidR="00BB169F">
        <w:rPr>
          <w:rFonts w:asciiTheme="minorEastAsia" w:eastAsiaTheme="minorEastAsia" w:hAnsiTheme="minorEastAsia" w:hint="eastAsia"/>
          <w:sz w:val="24"/>
          <w:szCs w:val="28"/>
        </w:rPr>
        <w:t>容诚会计师事务所（特殊普通合伙）（以下简称“容诚所”）</w:t>
      </w:r>
      <w:r w:rsidR="00BB169F" w:rsidRPr="00EA74BA">
        <w:rPr>
          <w:rFonts w:asciiTheme="minorEastAsia" w:eastAsiaTheme="minorEastAsia" w:hAnsiTheme="minorEastAsia" w:hint="eastAsia"/>
          <w:sz w:val="24"/>
          <w:szCs w:val="28"/>
        </w:rPr>
        <w:t>出具</w:t>
      </w:r>
      <w:r w:rsidR="00AC5BB8" w:rsidRPr="0022047F">
        <w:rPr>
          <w:rFonts w:asciiTheme="minorEastAsia" w:eastAsiaTheme="minorEastAsia" w:hAnsiTheme="minorEastAsia" w:hint="eastAsia"/>
          <w:sz w:val="24"/>
          <w:szCs w:val="28"/>
        </w:rPr>
        <w:t>《关于江苏中利集团股份有限公司大股东及其附属企业非经营性资金占用清偿情况的专项说明》（容诚专字[2025]361Z0006号）</w:t>
      </w:r>
      <w:r w:rsidR="00BB169F" w:rsidRPr="00EA74BA">
        <w:rPr>
          <w:rFonts w:asciiTheme="minorEastAsia" w:eastAsiaTheme="minorEastAsia" w:hAnsiTheme="minorEastAsia" w:hint="eastAsia"/>
          <w:sz w:val="24"/>
          <w:szCs w:val="28"/>
        </w:rPr>
        <w:t>，确认公司已按照江苏证监局出具《行政监管措施决定书》（[2024]88号）的要求完成了非经营性资金占用问题的整改，</w:t>
      </w:r>
      <w:r w:rsidR="00ED3DBB">
        <w:rPr>
          <w:rFonts w:asciiTheme="minorEastAsia" w:eastAsiaTheme="minorEastAsia" w:hAnsiTheme="minorEastAsia" w:hint="eastAsia"/>
          <w:sz w:val="24"/>
          <w:szCs w:val="28"/>
        </w:rPr>
        <w:t>公司因</w:t>
      </w:r>
      <w:r w:rsidR="00ED3DBB" w:rsidRPr="00ED3DBB">
        <w:rPr>
          <w:rFonts w:asciiTheme="minorEastAsia" w:eastAsiaTheme="minorEastAsia" w:hAnsiTheme="minorEastAsia" w:hint="eastAsia"/>
          <w:sz w:val="24"/>
          <w:szCs w:val="28"/>
        </w:rPr>
        <w:t>被王柏兴及其关联方非经营性占用</w:t>
      </w:r>
      <w:r w:rsidR="00ED3DBB">
        <w:rPr>
          <w:rFonts w:asciiTheme="minorEastAsia" w:eastAsiaTheme="minorEastAsia" w:hAnsiTheme="minorEastAsia" w:hint="eastAsia"/>
          <w:sz w:val="24"/>
          <w:szCs w:val="28"/>
        </w:rPr>
        <w:t>而</w:t>
      </w:r>
      <w:r w:rsidR="00BB169F">
        <w:rPr>
          <w:rFonts w:asciiTheme="minorEastAsia" w:eastAsiaTheme="minorEastAsia" w:hAnsiTheme="minorEastAsia" w:hint="eastAsia"/>
          <w:sz w:val="24"/>
          <w:szCs w:val="28"/>
        </w:rPr>
        <w:t>触及的其他风险警示情形已经消除</w:t>
      </w:r>
      <w:r w:rsidR="00E451B4">
        <w:rPr>
          <w:rFonts w:asciiTheme="minorEastAsia" w:eastAsiaTheme="minorEastAsia" w:hAnsiTheme="minorEastAsia" w:hint="eastAsia"/>
          <w:sz w:val="24"/>
          <w:szCs w:val="28"/>
        </w:rPr>
        <w:t>。</w:t>
      </w:r>
    </w:p>
    <w:p w14:paraId="6FA235D1" w14:textId="347DCE30" w:rsidR="0077387C" w:rsidRDefault="0077387C" w:rsidP="002341F8">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3、根据《深圳证券交易所股票上市规则》（以下简称“</w:t>
      </w:r>
      <w:r w:rsidR="005135D4">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上市规则</w:t>
      </w:r>
      <w:r w:rsidR="005135D4">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w:t>
      </w:r>
      <w:bookmarkStart w:id="0" w:name="OLE_LINK1"/>
      <w:bookmarkStart w:id="1" w:name="OLE_LINK2"/>
      <w:r>
        <w:rPr>
          <w:rFonts w:asciiTheme="minorEastAsia" w:eastAsiaTheme="minorEastAsia" w:hAnsiTheme="minorEastAsia" w:hint="eastAsia"/>
          <w:sz w:val="24"/>
          <w:szCs w:val="28"/>
        </w:rPr>
        <w:t>第9</w:t>
      </w:r>
      <w:r>
        <w:rPr>
          <w:rFonts w:asciiTheme="minorEastAsia" w:eastAsiaTheme="minorEastAsia" w:hAnsiTheme="minorEastAsia"/>
          <w:sz w:val="24"/>
          <w:szCs w:val="28"/>
        </w:rPr>
        <w:t>.4.14</w:t>
      </w:r>
      <w:r>
        <w:rPr>
          <w:rFonts w:asciiTheme="minorEastAsia" w:eastAsiaTheme="minorEastAsia" w:hAnsiTheme="minorEastAsia" w:hint="eastAsia"/>
          <w:sz w:val="24"/>
          <w:szCs w:val="28"/>
        </w:rPr>
        <w:t>条和9</w:t>
      </w:r>
      <w:r>
        <w:rPr>
          <w:rFonts w:asciiTheme="minorEastAsia" w:eastAsiaTheme="minorEastAsia" w:hAnsiTheme="minorEastAsia"/>
          <w:sz w:val="24"/>
          <w:szCs w:val="28"/>
        </w:rPr>
        <w:t>.4.7</w:t>
      </w:r>
      <w:r>
        <w:rPr>
          <w:rFonts w:asciiTheme="minorEastAsia" w:eastAsiaTheme="minorEastAsia" w:hAnsiTheme="minorEastAsia" w:hint="eastAsia"/>
          <w:sz w:val="24"/>
          <w:szCs w:val="28"/>
        </w:rPr>
        <w:t>条的规定</w:t>
      </w:r>
      <w:bookmarkEnd w:id="0"/>
      <w:bookmarkEnd w:id="1"/>
      <w:r>
        <w:rPr>
          <w:rFonts w:asciiTheme="minorEastAsia" w:eastAsiaTheme="minorEastAsia" w:hAnsiTheme="minorEastAsia" w:hint="eastAsia"/>
          <w:sz w:val="24"/>
          <w:szCs w:val="28"/>
        </w:rPr>
        <w:t>，公司已向深圳证券交易所（以下简称“深交所”）申请撤销</w:t>
      </w:r>
      <w:r w:rsidR="00DC2410">
        <w:rPr>
          <w:rFonts w:asciiTheme="minorEastAsia" w:eastAsiaTheme="minorEastAsia" w:hAnsiTheme="minorEastAsia" w:hint="eastAsia"/>
          <w:sz w:val="24"/>
          <w:szCs w:val="28"/>
        </w:rPr>
        <w:t>相应</w:t>
      </w:r>
      <w:r w:rsidR="00665006">
        <w:rPr>
          <w:rFonts w:asciiTheme="minorEastAsia" w:eastAsiaTheme="minorEastAsia" w:hAnsiTheme="minorEastAsia" w:hint="eastAsia"/>
          <w:sz w:val="24"/>
          <w:szCs w:val="28"/>
        </w:rPr>
        <w:t>的</w:t>
      </w:r>
      <w:r w:rsidR="00ED3DBB">
        <w:rPr>
          <w:rFonts w:asciiTheme="minorEastAsia" w:eastAsiaTheme="minorEastAsia" w:hAnsiTheme="minorEastAsia" w:hint="eastAsia"/>
          <w:sz w:val="24"/>
          <w:szCs w:val="28"/>
        </w:rPr>
        <w:t>部分</w:t>
      </w:r>
      <w:r w:rsidR="00665006">
        <w:rPr>
          <w:rFonts w:asciiTheme="minorEastAsia" w:eastAsiaTheme="minorEastAsia" w:hAnsiTheme="minorEastAsia" w:hint="eastAsia"/>
          <w:sz w:val="24"/>
          <w:szCs w:val="28"/>
        </w:rPr>
        <w:t>退市风险警示及</w:t>
      </w:r>
      <w:r w:rsidR="00ED3DBB">
        <w:rPr>
          <w:rFonts w:asciiTheme="minorEastAsia" w:eastAsiaTheme="minorEastAsia" w:hAnsiTheme="minorEastAsia" w:hint="eastAsia"/>
          <w:sz w:val="24"/>
          <w:szCs w:val="28"/>
        </w:rPr>
        <w:t>部分</w:t>
      </w:r>
      <w:r w:rsidR="00665006">
        <w:rPr>
          <w:rFonts w:asciiTheme="minorEastAsia" w:eastAsiaTheme="minorEastAsia" w:hAnsiTheme="minorEastAsia" w:hint="eastAsia"/>
          <w:sz w:val="24"/>
          <w:szCs w:val="28"/>
        </w:rPr>
        <w:t>其他风险警示</w:t>
      </w:r>
      <w:r>
        <w:rPr>
          <w:rFonts w:asciiTheme="minorEastAsia" w:eastAsiaTheme="minorEastAsia" w:hAnsiTheme="minorEastAsia" w:hint="eastAsia"/>
          <w:sz w:val="24"/>
          <w:szCs w:val="28"/>
        </w:rPr>
        <w:t>。</w:t>
      </w:r>
      <w:r w:rsidR="0020111B" w:rsidRPr="0020111B">
        <w:rPr>
          <w:rFonts w:asciiTheme="minorEastAsia" w:eastAsiaTheme="minorEastAsia" w:hAnsiTheme="minorEastAsia" w:hint="eastAsia"/>
          <w:sz w:val="24"/>
          <w:szCs w:val="28"/>
        </w:rPr>
        <w:t>目前上述申请已经获得深交所审核批准。</w:t>
      </w:r>
    </w:p>
    <w:p w14:paraId="486BCE54" w14:textId="26E75FC1" w:rsidR="005868FC" w:rsidRDefault="0077387C" w:rsidP="007C0958">
      <w:pPr>
        <w:spacing w:line="360" w:lineRule="auto"/>
        <w:ind w:firstLineChars="200" w:firstLine="480"/>
        <w:rPr>
          <w:rFonts w:ascii="宋体" w:cs="宋体"/>
          <w:color w:val="000000"/>
          <w:kern w:val="0"/>
          <w:sz w:val="24"/>
        </w:rPr>
      </w:pPr>
      <w:r>
        <w:rPr>
          <w:rFonts w:asciiTheme="minorEastAsia" w:eastAsiaTheme="minorEastAsia" w:hAnsiTheme="minorEastAsia" w:hint="eastAsia"/>
          <w:sz w:val="24"/>
          <w:szCs w:val="28"/>
        </w:rPr>
        <w:t>4、</w:t>
      </w:r>
      <w:r w:rsidR="00F37403" w:rsidRPr="002D412E">
        <w:rPr>
          <w:rFonts w:ascii="宋体" w:hAnsi="宋体" w:cs="宋体" w:hint="eastAsia"/>
          <w:color w:val="000000"/>
          <w:kern w:val="0"/>
          <w:sz w:val="24"/>
        </w:rPr>
        <w:t>鉴于公司仍存在触及退市风险警示和其他风险警示的情形，公司股票</w:t>
      </w:r>
      <w:r w:rsidR="00ED3DBB">
        <w:rPr>
          <w:rFonts w:ascii="宋体" w:hAnsi="宋体" w:cs="宋体" w:hint="eastAsia"/>
          <w:color w:val="000000"/>
          <w:kern w:val="0"/>
          <w:sz w:val="24"/>
        </w:rPr>
        <w:t>仍</w:t>
      </w:r>
      <w:r w:rsidR="00F37403" w:rsidRPr="002D412E">
        <w:rPr>
          <w:rFonts w:ascii="宋体" w:hAnsi="宋体" w:cs="宋体" w:hint="eastAsia"/>
          <w:color w:val="000000"/>
          <w:kern w:val="0"/>
          <w:sz w:val="24"/>
        </w:rPr>
        <w:t>将继续被</w:t>
      </w:r>
      <w:r w:rsidR="00F37403" w:rsidRPr="00C070FC">
        <w:rPr>
          <w:rFonts w:ascii="宋体" w:hAnsi="宋体" w:cs="宋体" w:hint="eastAsia"/>
          <w:color w:val="000000"/>
          <w:kern w:val="0"/>
          <w:sz w:val="24"/>
        </w:rPr>
        <w:t>深</w:t>
      </w:r>
      <w:r w:rsidR="00A0257F">
        <w:rPr>
          <w:rFonts w:ascii="宋体" w:hAnsi="宋体" w:cs="宋体" w:hint="eastAsia"/>
          <w:color w:val="000000"/>
          <w:kern w:val="0"/>
          <w:sz w:val="24"/>
        </w:rPr>
        <w:t>交所</w:t>
      </w:r>
      <w:r w:rsidR="00F37403" w:rsidRPr="002D412E">
        <w:rPr>
          <w:rFonts w:ascii="宋体" w:hAnsi="宋体" w:cs="宋体" w:hint="eastAsia"/>
          <w:color w:val="000000"/>
          <w:kern w:val="0"/>
          <w:sz w:val="24"/>
        </w:rPr>
        <w:t>实施退市风险警示和其他风险警示</w:t>
      </w:r>
      <w:r w:rsidR="00F37403">
        <w:rPr>
          <w:rFonts w:ascii="宋体" w:hAnsi="宋体" w:cs="宋体" w:hint="eastAsia"/>
          <w:color w:val="000000"/>
          <w:kern w:val="0"/>
          <w:sz w:val="24"/>
        </w:rPr>
        <w:t>，</w:t>
      </w:r>
      <w:r w:rsidR="00B37708">
        <w:rPr>
          <w:rFonts w:asciiTheme="majorEastAsia" w:eastAsiaTheme="majorEastAsia" w:hAnsiTheme="majorEastAsia" w:hint="eastAsia"/>
          <w:sz w:val="24"/>
        </w:rPr>
        <w:t>公司股票简称不变，</w:t>
      </w:r>
      <w:r w:rsidR="007C0958" w:rsidRPr="00DE775F">
        <w:rPr>
          <w:rFonts w:ascii="宋体" w:cs="宋体" w:hint="eastAsia"/>
          <w:color w:val="000000"/>
          <w:kern w:val="0"/>
          <w:sz w:val="24"/>
        </w:rPr>
        <w:t>股票交易日涨跌幅限制</w:t>
      </w:r>
      <w:r w:rsidR="007C0958">
        <w:rPr>
          <w:rFonts w:ascii="宋体" w:cs="宋体" w:hint="eastAsia"/>
          <w:color w:val="000000"/>
          <w:kern w:val="0"/>
          <w:sz w:val="24"/>
        </w:rPr>
        <w:t>仍</w:t>
      </w:r>
      <w:r w:rsidR="007C0958" w:rsidRPr="00DE775F">
        <w:rPr>
          <w:rFonts w:ascii="宋体" w:cs="宋体" w:hint="eastAsia"/>
          <w:color w:val="000000"/>
          <w:kern w:val="0"/>
          <w:sz w:val="24"/>
        </w:rPr>
        <w:t>为5%</w:t>
      </w:r>
      <w:r w:rsidR="007C0958" w:rsidRPr="006F6409">
        <w:rPr>
          <w:rFonts w:ascii="宋体" w:cs="宋体" w:hint="eastAsia"/>
          <w:color w:val="000000"/>
          <w:kern w:val="0"/>
          <w:sz w:val="24"/>
        </w:rPr>
        <w:t>。</w:t>
      </w:r>
    </w:p>
    <w:p w14:paraId="6BBF51B1" w14:textId="093B9924" w:rsidR="007C0958" w:rsidRDefault="005868FC" w:rsidP="007C0958">
      <w:pPr>
        <w:spacing w:line="360" w:lineRule="auto"/>
        <w:ind w:firstLineChars="200" w:firstLine="480"/>
        <w:rPr>
          <w:rFonts w:ascii="宋体" w:cs="宋体"/>
          <w:color w:val="000000"/>
          <w:kern w:val="0"/>
          <w:sz w:val="24"/>
        </w:rPr>
      </w:pPr>
      <w:r w:rsidRPr="001275A2">
        <w:rPr>
          <w:rFonts w:ascii="宋体" w:cs="宋体"/>
          <w:color w:val="000000"/>
          <w:kern w:val="0"/>
          <w:sz w:val="24"/>
        </w:rPr>
        <w:t>5</w:t>
      </w:r>
      <w:r w:rsidRPr="001275A2">
        <w:rPr>
          <w:rFonts w:ascii="宋体" w:cs="宋体" w:hint="eastAsia"/>
          <w:color w:val="000000"/>
          <w:kern w:val="0"/>
          <w:sz w:val="24"/>
        </w:rPr>
        <w:t>、</w:t>
      </w:r>
      <w:r w:rsidR="0020111B" w:rsidRPr="001275A2">
        <w:rPr>
          <w:rFonts w:ascii="宋体" w:cs="宋体" w:hint="eastAsia"/>
          <w:color w:val="000000"/>
          <w:kern w:val="0"/>
          <w:sz w:val="24"/>
        </w:rPr>
        <w:t>公司股票将于2</w:t>
      </w:r>
      <w:r w:rsidR="0020111B" w:rsidRPr="001275A2">
        <w:rPr>
          <w:rFonts w:ascii="宋体" w:cs="宋体"/>
          <w:color w:val="000000"/>
          <w:kern w:val="0"/>
          <w:sz w:val="24"/>
        </w:rPr>
        <w:t>025</w:t>
      </w:r>
      <w:r w:rsidR="0020111B" w:rsidRPr="001275A2">
        <w:rPr>
          <w:rFonts w:ascii="宋体" w:cs="宋体" w:hint="eastAsia"/>
          <w:color w:val="000000"/>
          <w:kern w:val="0"/>
          <w:sz w:val="24"/>
        </w:rPr>
        <w:t>年1月9日</w:t>
      </w:r>
      <w:r w:rsidR="00A0257F">
        <w:rPr>
          <w:rFonts w:ascii="宋体" w:cs="宋体" w:hint="eastAsia"/>
          <w:color w:val="000000"/>
          <w:kern w:val="0"/>
          <w:sz w:val="24"/>
        </w:rPr>
        <w:t>开市</w:t>
      </w:r>
      <w:r w:rsidR="0020111B" w:rsidRPr="001275A2">
        <w:rPr>
          <w:rFonts w:ascii="宋体" w:cs="宋体" w:hint="eastAsia"/>
          <w:color w:val="000000"/>
          <w:kern w:val="0"/>
          <w:sz w:val="24"/>
        </w:rPr>
        <w:t>起复牌。</w:t>
      </w:r>
    </w:p>
    <w:p w14:paraId="426F31A4" w14:textId="032F1797" w:rsidR="00BB169F" w:rsidRDefault="00BB169F" w:rsidP="003D245A">
      <w:pPr>
        <w:spacing w:line="360" w:lineRule="auto"/>
        <w:ind w:firstLineChars="200" w:firstLine="482"/>
        <w:rPr>
          <w:rFonts w:ascii="宋体" w:cs="宋体"/>
          <w:b/>
          <w:color w:val="000000"/>
          <w:kern w:val="0"/>
          <w:sz w:val="24"/>
        </w:rPr>
      </w:pPr>
    </w:p>
    <w:p w14:paraId="40A89E06" w14:textId="77777777" w:rsidR="00A27186" w:rsidRDefault="00A27186" w:rsidP="003D245A">
      <w:pPr>
        <w:spacing w:line="360" w:lineRule="auto"/>
        <w:ind w:firstLineChars="200" w:firstLine="482"/>
        <w:rPr>
          <w:rFonts w:ascii="宋体" w:cs="宋体"/>
          <w:b/>
          <w:color w:val="000000"/>
          <w:kern w:val="0"/>
          <w:sz w:val="24"/>
        </w:rPr>
      </w:pPr>
    </w:p>
    <w:p w14:paraId="35DFB90D" w14:textId="23EE1F99" w:rsidR="0020111B" w:rsidRPr="00FB2DE3" w:rsidRDefault="0020111B" w:rsidP="0020111B">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lastRenderedPageBreak/>
        <w:t>一、股票种类、简称、股票</w:t>
      </w:r>
      <w:r w:rsidRPr="00FB2DE3">
        <w:rPr>
          <w:rFonts w:ascii="宋体" w:cs="宋体" w:hint="eastAsia"/>
          <w:b/>
          <w:color w:val="000000"/>
          <w:kern w:val="0"/>
          <w:sz w:val="24"/>
        </w:rPr>
        <w:t>代码</w:t>
      </w:r>
      <w:r w:rsidR="00FD7EA1">
        <w:rPr>
          <w:rFonts w:ascii="宋体" w:cs="宋体" w:hint="eastAsia"/>
          <w:b/>
          <w:color w:val="000000"/>
          <w:kern w:val="0"/>
          <w:sz w:val="24"/>
        </w:rPr>
        <w:t>、复牌安排</w:t>
      </w:r>
      <w:r w:rsidRPr="00FB2DE3">
        <w:rPr>
          <w:rFonts w:ascii="宋体" w:cs="宋体" w:hint="eastAsia"/>
          <w:b/>
          <w:color w:val="000000"/>
          <w:kern w:val="0"/>
          <w:sz w:val="24"/>
        </w:rPr>
        <w:t>以及</w:t>
      </w:r>
      <w:r w:rsidR="00591C6D">
        <w:rPr>
          <w:rFonts w:ascii="宋体" w:cs="宋体" w:hint="eastAsia"/>
          <w:b/>
          <w:color w:val="000000"/>
          <w:kern w:val="0"/>
          <w:sz w:val="24"/>
        </w:rPr>
        <w:t>实施</w:t>
      </w:r>
      <w:r>
        <w:rPr>
          <w:rFonts w:ascii="宋体" w:cs="宋体" w:hint="eastAsia"/>
          <w:b/>
          <w:color w:val="000000"/>
          <w:kern w:val="0"/>
          <w:sz w:val="24"/>
        </w:rPr>
        <w:t>退市</w:t>
      </w:r>
      <w:r w:rsidRPr="00441836">
        <w:rPr>
          <w:rFonts w:ascii="宋体" w:cs="宋体" w:hint="eastAsia"/>
          <w:b/>
          <w:color w:val="000000"/>
          <w:kern w:val="0"/>
          <w:sz w:val="24"/>
        </w:rPr>
        <w:t>风险警示及其他</w:t>
      </w:r>
      <w:r w:rsidRPr="00FB2DE3">
        <w:rPr>
          <w:rFonts w:ascii="宋体" w:cs="宋体" w:hint="eastAsia"/>
          <w:b/>
          <w:color w:val="000000"/>
          <w:kern w:val="0"/>
          <w:sz w:val="24"/>
        </w:rPr>
        <w:t>风险警示起始日</w:t>
      </w:r>
    </w:p>
    <w:p w14:paraId="62CAF007" w14:textId="486BC761"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1、股票种类：人民币普通股</w:t>
      </w:r>
    </w:p>
    <w:p w14:paraId="1E672140" w14:textId="69CCA0D0"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2、股票简称：</w:t>
      </w:r>
      <w:r w:rsidRPr="00DE775F">
        <w:rPr>
          <w:rFonts w:ascii="宋体" w:cs="宋体" w:hint="eastAsia"/>
          <w:color w:val="000000"/>
          <w:kern w:val="0"/>
          <w:sz w:val="24"/>
        </w:rPr>
        <w:t xml:space="preserve"> </w:t>
      </w:r>
      <w:r w:rsidRPr="00B72093">
        <w:rPr>
          <w:rFonts w:ascii="宋体" w:cs="宋体" w:hint="eastAsia"/>
          <w:color w:val="000000"/>
          <w:kern w:val="0"/>
          <w:sz w:val="24"/>
        </w:rPr>
        <w:t>*ST</w:t>
      </w:r>
      <w:r>
        <w:rPr>
          <w:rFonts w:ascii="宋体" w:cs="宋体" w:hint="eastAsia"/>
          <w:color w:val="000000"/>
          <w:kern w:val="0"/>
          <w:sz w:val="24"/>
        </w:rPr>
        <w:t>中利</w:t>
      </w:r>
    </w:p>
    <w:p w14:paraId="75734C85" w14:textId="6A423DD3"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3、股票代码：002309</w:t>
      </w:r>
    </w:p>
    <w:p w14:paraId="725954EE" w14:textId="77777777" w:rsidR="005868FC"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4、</w:t>
      </w:r>
      <w:r w:rsidR="005868FC">
        <w:rPr>
          <w:rStyle w:val="fontstyle01"/>
          <w:rFonts w:hAnsi="Times New Roman" w:cs="宋体" w:hint="default"/>
          <w:kern w:val="0"/>
          <w:sz w:val="24"/>
          <w:szCs w:val="24"/>
        </w:rPr>
        <w:t>公司股票复牌安排：2025年1月9日</w:t>
      </w:r>
    </w:p>
    <w:p w14:paraId="15655D10" w14:textId="4E6EA71C" w:rsidR="0020111B"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5、撤销部分退市风险警示及部分其他风险警示情形并继续实施退市风险警示及</w:t>
      </w:r>
      <w:r w:rsidR="0020111B" w:rsidRPr="0020111B">
        <w:rPr>
          <w:rStyle w:val="fontstyle01"/>
          <w:rFonts w:hAnsi="Times New Roman" w:hint="default"/>
          <w:sz w:val="24"/>
          <w:szCs w:val="24"/>
        </w:rPr>
        <w:t>其他风险警示</w:t>
      </w:r>
      <w:r w:rsidR="0020111B">
        <w:rPr>
          <w:rStyle w:val="fontstyle01"/>
          <w:rFonts w:hAnsi="Times New Roman" w:cs="宋体" w:hint="default"/>
          <w:kern w:val="0"/>
          <w:sz w:val="24"/>
          <w:szCs w:val="24"/>
        </w:rPr>
        <w:t>起始日：2025年1月9日</w:t>
      </w:r>
    </w:p>
    <w:p w14:paraId="36A7E1E3" w14:textId="0C0F7798" w:rsidR="005868FC" w:rsidRPr="005868FC"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6、股票交易日的涨跌幅限制：5%</w:t>
      </w:r>
    </w:p>
    <w:p w14:paraId="3E7F78A8" w14:textId="3FBA34E1" w:rsidR="001275A2" w:rsidRDefault="0020111B" w:rsidP="001275A2">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w:t>
      </w:r>
      <w:r w:rsidR="007C0958">
        <w:rPr>
          <w:rFonts w:ascii="宋体" w:cs="宋体" w:hint="eastAsia"/>
          <w:b/>
          <w:color w:val="000000"/>
          <w:kern w:val="0"/>
          <w:sz w:val="24"/>
        </w:rPr>
        <w:t>、</w:t>
      </w:r>
      <w:r w:rsidR="001275A2" w:rsidRPr="005868FC">
        <w:rPr>
          <w:rFonts w:ascii="宋体" w:cs="宋体" w:hint="eastAsia"/>
          <w:b/>
          <w:color w:val="000000"/>
          <w:kern w:val="0"/>
          <w:sz w:val="24"/>
        </w:rPr>
        <w:t>公司申请撤销</w:t>
      </w:r>
      <w:r w:rsidR="00DA05EF">
        <w:rPr>
          <w:rFonts w:ascii="宋体" w:cs="宋体" w:hint="eastAsia"/>
          <w:b/>
          <w:color w:val="000000"/>
          <w:kern w:val="0"/>
          <w:sz w:val="24"/>
        </w:rPr>
        <w:t>部分</w:t>
      </w:r>
      <w:r w:rsidR="001275A2" w:rsidRPr="005868FC">
        <w:rPr>
          <w:rFonts w:ascii="宋体" w:cs="宋体" w:hint="eastAsia"/>
          <w:b/>
          <w:color w:val="000000"/>
          <w:kern w:val="0"/>
          <w:sz w:val="24"/>
        </w:rPr>
        <w:t>退市风险警示及</w:t>
      </w:r>
      <w:r w:rsidR="00DA05EF">
        <w:rPr>
          <w:rFonts w:ascii="宋体" w:cs="宋体" w:hint="eastAsia"/>
          <w:b/>
          <w:color w:val="000000"/>
          <w:kern w:val="0"/>
          <w:sz w:val="24"/>
        </w:rPr>
        <w:t>部份</w:t>
      </w:r>
      <w:r w:rsidR="001275A2" w:rsidRPr="005868FC">
        <w:rPr>
          <w:rFonts w:ascii="宋体" w:cs="宋体" w:hint="eastAsia"/>
          <w:b/>
          <w:color w:val="000000"/>
          <w:kern w:val="0"/>
          <w:sz w:val="24"/>
        </w:rPr>
        <w:t>其他风险警示的情况</w:t>
      </w:r>
    </w:p>
    <w:p w14:paraId="3B44A1F1" w14:textId="46990366" w:rsidR="001275A2" w:rsidRDefault="001275A2" w:rsidP="001275A2">
      <w:pPr>
        <w:spacing w:line="360" w:lineRule="auto"/>
        <w:ind w:firstLineChars="200" w:firstLine="480"/>
        <w:rPr>
          <w:rFonts w:ascii="宋体" w:cs="宋体"/>
          <w:bCs/>
          <w:color w:val="000000"/>
          <w:kern w:val="0"/>
          <w:sz w:val="24"/>
        </w:rPr>
      </w:pPr>
      <w:r w:rsidRPr="005868FC">
        <w:rPr>
          <w:rFonts w:ascii="宋体" w:cs="宋体" w:hint="eastAsia"/>
          <w:bCs/>
          <w:color w:val="000000"/>
          <w:kern w:val="0"/>
          <w:sz w:val="24"/>
        </w:rPr>
        <w:t>公司按照《上市规则》的相关规定，已向深交所申请撤销因</w:t>
      </w:r>
      <w:r w:rsidR="00DA05EF">
        <w:rPr>
          <w:rFonts w:ascii="宋体" w:cs="宋体" w:hint="eastAsia"/>
          <w:bCs/>
          <w:color w:val="000000"/>
          <w:kern w:val="0"/>
          <w:sz w:val="24"/>
        </w:rPr>
        <w:t>被受理重整而</w:t>
      </w:r>
      <w:r w:rsidRPr="005868FC">
        <w:rPr>
          <w:rFonts w:ascii="宋体" w:cs="宋体" w:hint="eastAsia"/>
          <w:bCs/>
          <w:color w:val="000000"/>
          <w:kern w:val="0"/>
          <w:sz w:val="24"/>
        </w:rPr>
        <w:t>导致的退市风险警示</w:t>
      </w:r>
      <w:r w:rsidR="00DA05EF">
        <w:rPr>
          <w:rFonts w:ascii="宋体" w:cs="宋体" w:hint="eastAsia"/>
          <w:bCs/>
          <w:color w:val="000000"/>
          <w:kern w:val="0"/>
          <w:sz w:val="24"/>
        </w:rPr>
        <w:t>以</w:t>
      </w:r>
      <w:r w:rsidRPr="005868FC">
        <w:rPr>
          <w:rFonts w:ascii="宋体" w:cs="宋体" w:hint="eastAsia"/>
          <w:bCs/>
          <w:color w:val="000000"/>
          <w:kern w:val="0"/>
          <w:sz w:val="24"/>
        </w:rPr>
        <w:t>及因被</w:t>
      </w:r>
      <w:r>
        <w:rPr>
          <w:rFonts w:ascii="宋体" w:cs="宋体" w:hint="eastAsia"/>
          <w:bCs/>
          <w:color w:val="000000"/>
          <w:kern w:val="0"/>
          <w:sz w:val="24"/>
        </w:rPr>
        <w:t>王柏兴</w:t>
      </w:r>
      <w:r w:rsidRPr="005868FC">
        <w:rPr>
          <w:rFonts w:ascii="宋体" w:cs="宋体" w:hint="eastAsia"/>
          <w:bCs/>
          <w:color w:val="000000"/>
          <w:kern w:val="0"/>
          <w:sz w:val="24"/>
        </w:rPr>
        <w:t>及其关联方非经营性资金占用而触及的其他风险警示</w:t>
      </w:r>
      <w:r>
        <w:rPr>
          <w:rFonts w:ascii="宋体" w:cs="宋体" w:hint="eastAsia"/>
          <w:bCs/>
          <w:color w:val="000000"/>
          <w:kern w:val="0"/>
          <w:sz w:val="24"/>
        </w:rPr>
        <w:t>。</w:t>
      </w:r>
    </w:p>
    <w:p w14:paraId="53057D61" w14:textId="2C958E8F" w:rsidR="001275A2" w:rsidRPr="005868FC" w:rsidRDefault="001275A2" w:rsidP="001275A2">
      <w:pPr>
        <w:spacing w:line="360" w:lineRule="auto"/>
        <w:ind w:firstLineChars="200" w:firstLine="480"/>
        <w:rPr>
          <w:rFonts w:ascii="宋体" w:cs="宋体"/>
          <w:bCs/>
          <w:color w:val="000000"/>
          <w:kern w:val="0"/>
          <w:sz w:val="24"/>
        </w:rPr>
      </w:pPr>
      <w:r>
        <w:rPr>
          <w:rFonts w:ascii="宋体" w:cs="宋体" w:hint="eastAsia"/>
          <w:bCs/>
          <w:color w:val="000000"/>
          <w:kern w:val="0"/>
          <w:sz w:val="24"/>
        </w:rPr>
        <w:t>目前，</w:t>
      </w:r>
      <w:r w:rsidRPr="005868FC">
        <w:rPr>
          <w:rFonts w:ascii="宋体" w:cs="宋体" w:hint="eastAsia"/>
          <w:bCs/>
          <w:color w:val="000000"/>
          <w:kern w:val="0"/>
          <w:sz w:val="24"/>
        </w:rPr>
        <w:t>深交所已审核批准</w:t>
      </w:r>
      <w:r w:rsidR="00A0257F">
        <w:rPr>
          <w:rFonts w:ascii="宋体" w:cs="宋体" w:hint="eastAsia"/>
          <w:bCs/>
          <w:color w:val="000000"/>
          <w:kern w:val="0"/>
          <w:sz w:val="24"/>
        </w:rPr>
        <w:t>公司提交的上述撤销</w:t>
      </w:r>
      <w:r w:rsidRPr="005868FC">
        <w:rPr>
          <w:rFonts w:ascii="宋体" w:cs="宋体" w:hint="eastAsia"/>
          <w:bCs/>
          <w:color w:val="000000"/>
          <w:kern w:val="0"/>
          <w:sz w:val="24"/>
        </w:rPr>
        <w:t>申请</w:t>
      </w:r>
      <w:r>
        <w:rPr>
          <w:rFonts w:ascii="宋体" w:cs="宋体" w:hint="eastAsia"/>
          <w:bCs/>
          <w:color w:val="000000"/>
          <w:kern w:val="0"/>
          <w:sz w:val="24"/>
        </w:rPr>
        <w:t>。</w:t>
      </w:r>
    </w:p>
    <w:p w14:paraId="3CFD0587" w14:textId="290BE520" w:rsidR="001275A2" w:rsidRPr="00FB2DE3" w:rsidRDefault="005868FC" w:rsidP="001275A2">
      <w:pPr>
        <w:spacing w:beforeLines="50" w:before="156" w:afterLines="50" w:after="156" w:line="360" w:lineRule="auto"/>
        <w:ind w:firstLineChars="200" w:firstLine="482"/>
        <w:rPr>
          <w:b/>
        </w:rPr>
      </w:pPr>
      <w:r w:rsidRPr="005868FC">
        <w:rPr>
          <w:rFonts w:ascii="宋体" w:cs="宋体" w:hint="eastAsia"/>
          <w:b/>
          <w:color w:val="000000"/>
          <w:kern w:val="0"/>
          <w:sz w:val="24"/>
        </w:rPr>
        <w:t>三、</w:t>
      </w:r>
      <w:r w:rsidR="00591C6D">
        <w:rPr>
          <w:rFonts w:ascii="宋体" w:cs="宋体" w:hint="eastAsia"/>
          <w:b/>
          <w:color w:val="000000"/>
          <w:kern w:val="0"/>
          <w:sz w:val="24"/>
        </w:rPr>
        <w:t>公司</w:t>
      </w:r>
      <w:r w:rsidR="001275A2">
        <w:rPr>
          <w:rFonts w:ascii="宋体" w:cs="宋体" w:hint="eastAsia"/>
          <w:b/>
          <w:color w:val="000000"/>
          <w:kern w:val="0"/>
          <w:sz w:val="24"/>
        </w:rPr>
        <w:t>继续被实施退市风险警示</w:t>
      </w:r>
      <w:r w:rsidR="00591C6D">
        <w:rPr>
          <w:rFonts w:ascii="宋体" w:cs="宋体" w:hint="eastAsia"/>
          <w:b/>
          <w:color w:val="000000"/>
          <w:kern w:val="0"/>
          <w:sz w:val="24"/>
        </w:rPr>
        <w:t>及</w:t>
      </w:r>
      <w:r w:rsidR="001275A2">
        <w:rPr>
          <w:rFonts w:ascii="宋体" w:cs="宋体" w:hint="eastAsia"/>
          <w:b/>
          <w:color w:val="000000"/>
          <w:kern w:val="0"/>
          <w:sz w:val="24"/>
        </w:rPr>
        <w:t>其他风险警示的</w:t>
      </w:r>
      <w:r w:rsidR="00DA05EF">
        <w:rPr>
          <w:rFonts w:ascii="宋体" w:cs="宋体" w:hint="eastAsia"/>
          <w:b/>
          <w:color w:val="000000"/>
          <w:kern w:val="0"/>
          <w:sz w:val="24"/>
        </w:rPr>
        <w:t>情况</w:t>
      </w:r>
    </w:p>
    <w:p w14:paraId="51C9DEB0" w14:textId="50413362" w:rsidR="001275A2" w:rsidRPr="00BB169F" w:rsidRDefault="001275A2" w:rsidP="001275A2">
      <w:pPr>
        <w:spacing w:beforeLines="50" w:before="156" w:afterLines="50" w:after="156"/>
        <w:ind w:firstLine="482"/>
        <w:rPr>
          <w:rStyle w:val="fontstyle01"/>
          <w:rFonts w:hint="default"/>
          <w:b/>
          <w:sz w:val="24"/>
        </w:rPr>
      </w:pPr>
      <w:r w:rsidRPr="00BB169F">
        <w:rPr>
          <w:rStyle w:val="fontstyle01"/>
          <w:rFonts w:hint="default"/>
          <w:b/>
          <w:sz w:val="24"/>
        </w:rPr>
        <w:t>（一）</w:t>
      </w:r>
      <w:r>
        <w:rPr>
          <w:rFonts w:ascii="宋体" w:cs="宋体" w:hint="eastAsia"/>
          <w:b/>
          <w:color w:val="000000"/>
          <w:kern w:val="0"/>
          <w:sz w:val="24"/>
        </w:rPr>
        <w:t>继续</w:t>
      </w:r>
      <w:r w:rsidR="00DA05EF">
        <w:rPr>
          <w:rFonts w:ascii="宋体" w:cs="宋体" w:hint="eastAsia"/>
          <w:b/>
          <w:color w:val="000000"/>
          <w:kern w:val="0"/>
          <w:sz w:val="24"/>
        </w:rPr>
        <w:t>被</w:t>
      </w:r>
      <w:r w:rsidRPr="00BB169F">
        <w:rPr>
          <w:rStyle w:val="fontstyle01"/>
          <w:rFonts w:hint="default"/>
          <w:b/>
          <w:sz w:val="24"/>
        </w:rPr>
        <w:t>实施退市</w:t>
      </w:r>
      <w:r w:rsidRPr="00BB169F">
        <w:rPr>
          <w:rFonts w:ascii="宋体" w:cs="宋体" w:hint="eastAsia"/>
          <w:b/>
          <w:color w:val="000000"/>
          <w:kern w:val="0"/>
          <w:sz w:val="24"/>
        </w:rPr>
        <w:t>风险警示</w:t>
      </w:r>
    </w:p>
    <w:p w14:paraId="4870ED30" w14:textId="77777777" w:rsidR="001275A2" w:rsidRDefault="001275A2" w:rsidP="001275A2">
      <w:pPr>
        <w:spacing w:line="360" w:lineRule="auto"/>
        <w:ind w:firstLine="480"/>
        <w:rPr>
          <w:rStyle w:val="fontstyle01"/>
          <w:rFonts w:hint="default"/>
          <w:sz w:val="24"/>
        </w:rPr>
      </w:pPr>
      <w:r>
        <w:rPr>
          <w:rStyle w:val="fontstyle01"/>
          <w:rFonts w:hint="default"/>
          <w:sz w:val="24"/>
        </w:rPr>
        <w:t>根据苏亚金诚会计师事务所（特殊普通合伙）（以下简称“苏亚金诚”）出具的2023</w:t>
      </w:r>
      <w:r w:rsidRPr="00F2769A">
        <w:rPr>
          <w:rStyle w:val="fontstyle01"/>
          <w:rFonts w:hint="default"/>
          <w:sz w:val="24"/>
        </w:rPr>
        <w:t>年度审计报告，</w:t>
      </w:r>
      <w:r>
        <w:rPr>
          <w:rStyle w:val="fontstyle01"/>
          <w:rFonts w:hint="default"/>
          <w:sz w:val="24"/>
        </w:rPr>
        <w:t>公司2023年度末合并口径经审计净资产为负值，触及</w:t>
      </w:r>
      <w:r w:rsidRPr="00F2769A">
        <w:rPr>
          <w:rStyle w:val="fontstyle01"/>
          <w:rFonts w:hint="default"/>
          <w:sz w:val="24"/>
        </w:rPr>
        <w:t>《</w:t>
      </w:r>
      <w:r>
        <w:rPr>
          <w:rFonts w:asciiTheme="minorEastAsia" w:eastAsiaTheme="minorEastAsia" w:hAnsiTheme="minorEastAsia" w:hint="eastAsia"/>
          <w:sz w:val="24"/>
          <w:szCs w:val="28"/>
        </w:rPr>
        <w:t>上市规则</w:t>
      </w:r>
      <w:r w:rsidRPr="00F2769A">
        <w:rPr>
          <w:rStyle w:val="fontstyle01"/>
          <w:rFonts w:hint="default"/>
          <w:sz w:val="24"/>
        </w:rPr>
        <w:t>》第9.3.1</w:t>
      </w:r>
      <w:r>
        <w:rPr>
          <w:rStyle w:val="fontstyle01"/>
          <w:rFonts w:hint="default"/>
          <w:sz w:val="24"/>
        </w:rPr>
        <w:t>条的相关规定，公司股票交易被</w:t>
      </w:r>
      <w:r w:rsidRPr="00F2769A">
        <w:rPr>
          <w:rStyle w:val="fontstyle01"/>
          <w:rFonts w:hint="default"/>
          <w:sz w:val="24"/>
        </w:rPr>
        <w:t>实施退市风险警示。</w:t>
      </w:r>
    </w:p>
    <w:p w14:paraId="2F482FD1" w14:textId="62DEBD12" w:rsidR="001275A2" w:rsidRPr="00BB169F" w:rsidRDefault="001275A2" w:rsidP="001275A2">
      <w:pPr>
        <w:spacing w:beforeLines="50" w:before="156" w:afterLines="50" w:after="156"/>
        <w:ind w:firstLine="482"/>
        <w:rPr>
          <w:rStyle w:val="fontstyle01"/>
          <w:rFonts w:hint="default"/>
          <w:b/>
          <w:sz w:val="24"/>
        </w:rPr>
      </w:pPr>
      <w:r w:rsidRPr="00BB169F">
        <w:rPr>
          <w:rStyle w:val="fontstyle01"/>
          <w:rFonts w:hint="default"/>
          <w:b/>
          <w:sz w:val="24"/>
        </w:rPr>
        <w:t>（二）</w:t>
      </w:r>
      <w:r>
        <w:rPr>
          <w:rFonts w:ascii="宋体" w:cs="宋体" w:hint="eastAsia"/>
          <w:b/>
          <w:color w:val="000000"/>
          <w:kern w:val="0"/>
          <w:sz w:val="24"/>
        </w:rPr>
        <w:t>继续</w:t>
      </w:r>
      <w:r w:rsidRPr="00BB169F">
        <w:rPr>
          <w:rStyle w:val="fontstyle01"/>
          <w:rFonts w:hint="default"/>
          <w:b/>
          <w:sz w:val="24"/>
        </w:rPr>
        <w:t>实施其他风险警示</w:t>
      </w:r>
    </w:p>
    <w:p w14:paraId="7F5F358C" w14:textId="24418671" w:rsidR="001275A2" w:rsidRDefault="001275A2" w:rsidP="001275A2">
      <w:pPr>
        <w:spacing w:line="360" w:lineRule="auto"/>
        <w:ind w:firstLine="480"/>
        <w:rPr>
          <w:rStyle w:val="fontstyle01"/>
          <w:rFonts w:hint="default"/>
          <w:sz w:val="24"/>
        </w:rPr>
      </w:pPr>
      <w:r>
        <w:rPr>
          <w:rStyle w:val="fontstyle01"/>
          <w:rFonts w:hint="default"/>
          <w:sz w:val="24"/>
        </w:rPr>
        <w:t>公司</w:t>
      </w:r>
      <w:r w:rsidR="00A3548D">
        <w:rPr>
          <w:rStyle w:val="fontstyle01"/>
          <w:rFonts w:hint="default"/>
          <w:sz w:val="24"/>
        </w:rPr>
        <w:t>2021年至2023年内部控制审计（鉴证）报告为否定意见，</w:t>
      </w:r>
      <w:r>
        <w:rPr>
          <w:rStyle w:val="fontstyle01"/>
          <w:rFonts w:hint="default"/>
          <w:sz w:val="24"/>
        </w:rPr>
        <w:t>触及《</w:t>
      </w:r>
      <w:r>
        <w:rPr>
          <w:rFonts w:asciiTheme="minorEastAsia" w:eastAsiaTheme="minorEastAsia" w:hAnsiTheme="minorEastAsia" w:hint="eastAsia"/>
          <w:sz w:val="24"/>
          <w:szCs w:val="28"/>
        </w:rPr>
        <w:t>上市规则</w:t>
      </w:r>
      <w:r>
        <w:rPr>
          <w:rStyle w:val="fontstyle01"/>
          <w:rFonts w:hint="default"/>
          <w:sz w:val="24"/>
        </w:rPr>
        <w:t>》9.8.1条</w:t>
      </w:r>
      <w:r w:rsidR="005F630A">
        <w:rPr>
          <w:rStyle w:val="fontstyle01"/>
          <w:rFonts w:hint="default"/>
          <w:sz w:val="24"/>
        </w:rPr>
        <w:t>第（四）项规定，</w:t>
      </w:r>
      <w:r>
        <w:rPr>
          <w:rFonts w:ascii="宋体" w:cs="宋体" w:hint="eastAsia"/>
          <w:color w:val="000000"/>
          <w:kern w:val="0"/>
          <w:sz w:val="24"/>
        </w:rPr>
        <w:t>公司股票交易</w:t>
      </w:r>
      <w:r w:rsidRPr="00DE775F">
        <w:rPr>
          <w:rFonts w:ascii="宋体" w:cs="宋体" w:hint="eastAsia"/>
          <w:color w:val="000000"/>
          <w:kern w:val="0"/>
          <w:sz w:val="24"/>
        </w:rPr>
        <w:t>被实施其他风险警示</w:t>
      </w:r>
      <w:r w:rsidR="005F630A">
        <w:rPr>
          <w:rStyle w:val="fontstyle01"/>
          <w:rFonts w:hint="default"/>
          <w:sz w:val="24"/>
        </w:rPr>
        <w:t>。</w:t>
      </w:r>
    </w:p>
    <w:p w14:paraId="029626C9" w14:textId="77777777" w:rsidR="001275A2" w:rsidRDefault="001275A2" w:rsidP="001275A2">
      <w:pPr>
        <w:spacing w:line="360" w:lineRule="auto"/>
        <w:ind w:firstLine="480"/>
        <w:rPr>
          <w:rStyle w:val="fontstyle01"/>
          <w:rFonts w:hint="default"/>
          <w:sz w:val="24"/>
        </w:rPr>
      </w:pPr>
      <w:r>
        <w:rPr>
          <w:rStyle w:val="fontstyle01"/>
          <w:rFonts w:hint="default"/>
          <w:sz w:val="24"/>
        </w:rPr>
        <w:t>公司最近三年连续亏损且苏亚金诚</w:t>
      </w:r>
      <w:r w:rsidRPr="00354877">
        <w:rPr>
          <w:rStyle w:val="fontstyle01"/>
          <w:rFonts w:hint="default"/>
          <w:sz w:val="24"/>
        </w:rPr>
        <w:t>对公司</w:t>
      </w:r>
      <w:r>
        <w:rPr>
          <w:rStyle w:val="fontstyle01"/>
          <w:rFonts w:hint="default"/>
          <w:sz w:val="24"/>
        </w:rPr>
        <w:t>2023</w:t>
      </w:r>
      <w:r w:rsidRPr="00354877">
        <w:rPr>
          <w:rStyle w:val="fontstyle01"/>
          <w:rFonts w:hint="default"/>
          <w:sz w:val="24"/>
        </w:rPr>
        <w:t>年度财务报告出具了带持续经营能力</w:t>
      </w:r>
      <w:r>
        <w:rPr>
          <w:rStyle w:val="fontstyle01"/>
          <w:rFonts w:hint="default"/>
          <w:sz w:val="24"/>
        </w:rPr>
        <w:t>重大</w:t>
      </w:r>
      <w:r w:rsidRPr="00354877">
        <w:rPr>
          <w:rStyle w:val="fontstyle01"/>
          <w:rFonts w:hint="default"/>
          <w:sz w:val="24"/>
        </w:rPr>
        <w:t>不确定性段落的</w:t>
      </w:r>
      <w:r>
        <w:rPr>
          <w:rStyle w:val="fontstyle01"/>
          <w:rFonts w:hint="default"/>
          <w:sz w:val="24"/>
        </w:rPr>
        <w:t>无保留意见的</w:t>
      </w:r>
      <w:r w:rsidRPr="00354877">
        <w:rPr>
          <w:rStyle w:val="fontstyle01"/>
          <w:rFonts w:hint="default"/>
          <w:sz w:val="24"/>
        </w:rPr>
        <w:t>审计报告</w:t>
      </w:r>
      <w:r>
        <w:rPr>
          <w:rStyle w:val="fontstyle01"/>
          <w:rFonts w:hint="default"/>
          <w:sz w:val="24"/>
        </w:rPr>
        <w:t>，根据</w:t>
      </w:r>
      <w:r w:rsidRPr="00F2769A">
        <w:rPr>
          <w:rStyle w:val="fontstyle01"/>
          <w:rFonts w:hint="default"/>
          <w:sz w:val="24"/>
        </w:rPr>
        <w:t>《</w:t>
      </w:r>
      <w:r w:rsidRPr="00DE775F">
        <w:rPr>
          <w:rFonts w:ascii="宋体" w:cs="宋体" w:hint="eastAsia"/>
          <w:color w:val="000000"/>
          <w:kern w:val="0"/>
          <w:sz w:val="24"/>
        </w:rPr>
        <w:t>上市规则</w:t>
      </w:r>
      <w:r w:rsidRPr="00F2769A">
        <w:rPr>
          <w:rStyle w:val="fontstyle01"/>
          <w:rFonts w:hint="default"/>
          <w:sz w:val="24"/>
        </w:rPr>
        <w:t>》第9.</w:t>
      </w:r>
      <w:r>
        <w:rPr>
          <w:rStyle w:val="fontstyle01"/>
          <w:rFonts w:hint="default"/>
          <w:sz w:val="24"/>
        </w:rPr>
        <w:t>8</w:t>
      </w:r>
      <w:r w:rsidRPr="00F2769A">
        <w:rPr>
          <w:rStyle w:val="fontstyle01"/>
          <w:rFonts w:hint="default"/>
          <w:sz w:val="24"/>
        </w:rPr>
        <w:t>.1</w:t>
      </w:r>
      <w:r>
        <w:rPr>
          <w:rStyle w:val="fontstyle01"/>
          <w:rFonts w:hint="default"/>
          <w:sz w:val="24"/>
        </w:rPr>
        <w:t>条第（七）项</w:t>
      </w:r>
      <w:r w:rsidRPr="00F2769A">
        <w:rPr>
          <w:rStyle w:val="fontstyle01"/>
          <w:rFonts w:hint="default"/>
          <w:sz w:val="24"/>
        </w:rPr>
        <w:t>规定</w:t>
      </w:r>
      <w:r>
        <w:rPr>
          <w:rStyle w:val="fontstyle01"/>
          <w:rFonts w:hint="default"/>
          <w:sz w:val="24"/>
        </w:rPr>
        <w:t>，</w:t>
      </w:r>
      <w:r w:rsidRPr="00354877">
        <w:rPr>
          <w:rStyle w:val="fontstyle01"/>
          <w:rFonts w:hint="default"/>
          <w:sz w:val="24"/>
        </w:rPr>
        <w:t>公司股票交易被</w:t>
      </w:r>
      <w:r>
        <w:rPr>
          <w:rStyle w:val="fontstyle01"/>
          <w:rFonts w:hint="default"/>
          <w:sz w:val="24"/>
        </w:rPr>
        <w:t>叠加</w:t>
      </w:r>
      <w:r w:rsidRPr="00354877">
        <w:rPr>
          <w:rStyle w:val="fontstyle01"/>
          <w:rFonts w:hint="default"/>
          <w:sz w:val="24"/>
        </w:rPr>
        <w:t>实施其他风险警示</w:t>
      </w:r>
      <w:r>
        <w:rPr>
          <w:rStyle w:val="fontstyle01"/>
          <w:rFonts w:hint="default"/>
          <w:sz w:val="24"/>
        </w:rPr>
        <w:t>。</w:t>
      </w:r>
    </w:p>
    <w:p w14:paraId="6F8423CE" w14:textId="48160CA0" w:rsidR="005868FC" w:rsidRPr="005868FC" w:rsidRDefault="001275A2" w:rsidP="00A0257F">
      <w:pPr>
        <w:spacing w:line="360" w:lineRule="auto"/>
        <w:ind w:firstLineChars="200" w:firstLine="480"/>
        <w:rPr>
          <w:rFonts w:ascii="宋体" w:cs="宋体"/>
          <w:bCs/>
          <w:color w:val="000000"/>
          <w:kern w:val="0"/>
          <w:sz w:val="24"/>
        </w:rPr>
      </w:pPr>
      <w:r>
        <w:rPr>
          <w:rStyle w:val="fontstyle01"/>
          <w:rFonts w:hint="default"/>
          <w:sz w:val="24"/>
        </w:rPr>
        <w:t>公司</w:t>
      </w:r>
      <w:r>
        <w:rPr>
          <w:rStyle w:val="fontstyle01"/>
          <w:rFonts w:hAnsi="Times New Roman" w:cs="宋体" w:hint="default"/>
          <w:kern w:val="0"/>
          <w:sz w:val="24"/>
          <w:szCs w:val="24"/>
        </w:rPr>
        <w:t>收到</w:t>
      </w:r>
      <w:r w:rsidRPr="006F6409">
        <w:rPr>
          <w:rStyle w:val="fontstyle01"/>
          <w:rFonts w:hAnsi="Times New Roman" w:cs="宋体" w:hint="default"/>
          <w:kern w:val="0"/>
          <w:sz w:val="24"/>
          <w:szCs w:val="24"/>
        </w:rPr>
        <w:t>中国证券监督管理委员会下发</w:t>
      </w:r>
      <w:r>
        <w:rPr>
          <w:rFonts w:asciiTheme="minorEastAsia" w:eastAsiaTheme="minorEastAsia" w:hAnsiTheme="minorEastAsia" w:hint="eastAsia"/>
          <w:sz w:val="24"/>
          <w:szCs w:val="28"/>
        </w:rPr>
        <w:t>《</w:t>
      </w:r>
      <w:r w:rsidRPr="00194631">
        <w:rPr>
          <w:rFonts w:asciiTheme="minorEastAsia" w:eastAsiaTheme="minorEastAsia" w:hAnsiTheme="minorEastAsia" w:hint="eastAsia"/>
          <w:sz w:val="24"/>
          <w:szCs w:val="28"/>
        </w:rPr>
        <w:t>行政处罚及市场禁入事先告知书》</w:t>
      </w:r>
      <w:r>
        <w:rPr>
          <w:rFonts w:asciiTheme="minorEastAsia" w:eastAsiaTheme="minorEastAsia" w:hAnsiTheme="minorEastAsia" w:hint="eastAsia"/>
          <w:sz w:val="24"/>
          <w:szCs w:val="28"/>
        </w:rPr>
        <w:t>，</w:t>
      </w:r>
      <w:r w:rsidRPr="001247ED">
        <w:rPr>
          <w:rStyle w:val="fontstyle01"/>
          <w:rFonts w:hint="default"/>
          <w:sz w:val="24"/>
        </w:rPr>
        <w:t>根据《上市规则》第9.8.1 条第（八）项规定</w:t>
      </w:r>
      <w:r>
        <w:rPr>
          <w:rStyle w:val="fontstyle01"/>
          <w:rFonts w:hint="default"/>
          <w:sz w:val="24"/>
        </w:rPr>
        <w:t>，公司股票交易被叠加实施其他风</w:t>
      </w:r>
      <w:r>
        <w:rPr>
          <w:rStyle w:val="fontstyle01"/>
          <w:rFonts w:hint="default"/>
          <w:sz w:val="24"/>
        </w:rPr>
        <w:lastRenderedPageBreak/>
        <w:t>险警示。</w:t>
      </w:r>
    </w:p>
    <w:p w14:paraId="05FC9184" w14:textId="6AF28D8B" w:rsidR="0020111B" w:rsidRDefault="000A1754" w:rsidP="0020111B">
      <w:pPr>
        <w:spacing w:line="360" w:lineRule="auto"/>
        <w:ind w:firstLineChars="200" w:firstLine="480"/>
        <w:rPr>
          <w:rFonts w:ascii="宋体" w:cs="宋体"/>
          <w:color w:val="000000"/>
          <w:kern w:val="0"/>
          <w:sz w:val="24"/>
        </w:rPr>
      </w:pPr>
      <w:r>
        <w:rPr>
          <w:rFonts w:ascii="宋体" w:cs="宋体" w:hint="eastAsia"/>
          <w:color w:val="000000"/>
          <w:kern w:val="0"/>
          <w:sz w:val="24"/>
        </w:rPr>
        <w:t>对于上述仍存在的退市风险警示及其他风险警示之事项，公司积极配合2</w:t>
      </w:r>
      <w:r>
        <w:rPr>
          <w:rFonts w:ascii="宋体" w:cs="宋体"/>
          <w:color w:val="000000"/>
          <w:kern w:val="0"/>
          <w:sz w:val="24"/>
        </w:rPr>
        <w:t>024</w:t>
      </w:r>
      <w:r>
        <w:rPr>
          <w:rFonts w:ascii="宋体" w:cs="宋体" w:hint="eastAsia"/>
          <w:color w:val="000000"/>
          <w:kern w:val="0"/>
          <w:sz w:val="24"/>
        </w:rPr>
        <w:t>年年审工作，预计将在2</w:t>
      </w:r>
      <w:r>
        <w:rPr>
          <w:rFonts w:ascii="宋体" w:cs="宋体"/>
          <w:color w:val="000000"/>
          <w:kern w:val="0"/>
          <w:sz w:val="24"/>
        </w:rPr>
        <w:t>024</w:t>
      </w:r>
      <w:r>
        <w:rPr>
          <w:rFonts w:ascii="宋体" w:cs="宋体" w:hint="eastAsia"/>
          <w:color w:val="000000"/>
          <w:kern w:val="0"/>
          <w:sz w:val="24"/>
        </w:rPr>
        <w:t>年年报披露后</w:t>
      </w:r>
      <w:r w:rsidR="00527E9F">
        <w:rPr>
          <w:rFonts w:ascii="宋体" w:cs="宋体" w:hint="eastAsia"/>
          <w:color w:val="000000"/>
          <w:kern w:val="0"/>
          <w:sz w:val="24"/>
        </w:rPr>
        <w:t>得以</w:t>
      </w:r>
      <w:r>
        <w:rPr>
          <w:rFonts w:ascii="宋体" w:cs="宋体" w:hint="eastAsia"/>
          <w:color w:val="000000"/>
          <w:kern w:val="0"/>
          <w:sz w:val="24"/>
        </w:rPr>
        <w:t>化解。</w:t>
      </w:r>
    </w:p>
    <w:p w14:paraId="27AFBBB4" w14:textId="77777777" w:rsidR="000A1754" w:rsidRDefault="000A1754" w:rsidP="0020111B">
      <w:pPr>
        <w:spacing w:line="360" w:lineRule="auto"/>
        <w:ind w:firstLineChars="200" w:firstLine="480"/>
        <w:rPr>
          <w:rFonts w:ascii="宋体" w:cs="宋体" w:hint="eastAsia"/>
          <w:color w:val="000000"/>
          <w:kern w:val="0"/>
          <w:sz w:val="24"/>
        </w:rPr>
      </w:pPr>
    </w:p>
    <w:p w14:paraId="456735C4" w14:textId="77777777" w:rsidR="0020111B" w:rsidRDefault="0020111B" w:rsidP="0020111B">
      <w:pPr>
        <w:spacing w:line="360" w:lineRule="auto"/>
        <w:ind w:firstLineChars="200" w:firstLine="480"/>
        <w:rPr>
          <w:color w:val="000000"/>
          <w:sz w:val="24"/>
          <w:szCs w:val="28"/>
        </w:rPr>
      </w:pPr>
      <w:r w:rsidRPr="00AA3A8C">
        <w:rPr>
          <w:rFonts w:ascii="宋体" w:cs="宋体" w:hint="eastAsia"/>
          <w:color w:val="000000"/>
          <w:kern w:val="0"/>
          <w:sz w:val="24"/>
        </w:rPr>
        <w:t>公</w:t>
      </w:r>
      <w:r>
        <w:rPr>
          <w:rFonts w:ascii="宋体" w:cs="宋体" w:hint="eastAsia"/>
          <w:color w:val="000000"/>
          <w:kern w:val="0"/>
          <w:sz w:val="24"/>
        </w:rPr>
        <w:t>司董事会郑重提醒广大投资者：公司指定信息披露媒体为《证券时报》《证券日报》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14:paraId="36D8932A" w14:textId="77777777" w:rsidR="007C0958" w:rsidRPr="009C3952" w:rsidRDefault="007C0958" w:rsidP="007C0958">
      <w:pPr>
        <w:spacing w:line="360" w:lineRule="auto"/>
        <w:rPr>
          <w:color w:val="000000"/>
          <w:sz w:val="24"/>
          <w:szCs w:val="28"/>
        </w:rPr>
      </w:pPr>
    </w:p>
    <w:p w14:paraId="2D92802F" w14:textId="77777777" w:rsidR="007C0958" w:rsidRDefault="007C0958" w:rsidP="007C0958">
      <w:pPr>
        <w:spacing w:line="360" w:lineRule="auto"/>
        <w:ind w:firstLineChars="200" w:firstLine="480"/>
        <w:rPr>
          <w:rStyle w:val="fontstyle01"/>
          <w:rFonts w:hint="default"/>
          <w:sz w:val="24"/>
        </w:rPr>
      </w:pPr>
      <w:r w:rsidRPr="009C3952">
        <w:rPr>
          <w:rStyle w:val="fontstyle01"/>
          <w:rFonts w:hint="default"/>
          <w:sz w:val="24"/>
        </w:rPr>
        <w:t>特此公告。</w:t>
      </w:r>
    </w:p>
    <w:p w14:paraId="684C6151" w14:textId="77777777" w:rsidR="007C0958" w:rsidRDefault="007C0958" w:rsidP="007C0958">
      <w:pPr>
        <w:spacing w:line="360" w:lineRule="auto"/>
        <w:ind w:firstLineChars="200" w:firstLine="480"/>
        <w:rPr>
          <w:rStyle w:val="fontstyle01"/>
          <w:rFonts w:hint="default"/>
          <w:sz w:val="24"/>
        </w:rPr>
      </w:pPr>
    </w:p>
    <w:p w14:paraId="553E3CE3" w14:textId="77777777" w:rsidR="007C0958" w:rsidRPr="009C3952" w:rsidRDefault="007C0958" w:rsidP="007C0958">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4FB2AFD9" w14:textId="7FE08D12" w:rsidR="007C0958" w:rsidRPr="009C3952" w:rsidRDefault="007C0958" w:rsidP="007C0958">
      <w:pPr>
        <w:spacing w:line="360" w:lineRule="auto"/>
        <w:ind w:right="720" w:firstLineChars="200" w:firstLine="480"/>
        <w:jc w:val="right"/>
        <w:rPr>
          <w:rFonts w:ascii="宋体" w:hAnsi="宋体"/>
          <w:color w:val="000000"/>
          <w:sz w:val="24"/>
          <w:szCs w:val="28"/>
        </w:rPr>
      </w:pPr>
      <w:r w:rsidRPr="006F0D32">
        <w:rPr>
          <w:rStyle w:val="fontstyle01"/>
          <w:rFonts w:hint="default"/>
          <w:sz w:val="24"/>
        </w:rPr>
        <w:t>202</w:t>
      </w:r>
      <w:r w:rsidR="00632E19">
        <w:rPr>
          <w:rStyle w:val="fontstyle01"/>
          <w:rFonts w:hint="default"/>
          <w:sz w:val="24"/>
        </w:rPr>
        <w:t>5</w:t>
      </w:r>
      <w:r w:rsidRPr="006F0D32">
        <w:rPr>
          <w:rStyle w:val="fontstyle01"/>
          <w:rFonts w:hint="default"/>
          <w:sz w:val="24"/>
        </w:rPr>
        <w:t>年</w:t>
      </w:r>
      <w:r w:rsidR="00632E19">
        <w:rPr>
          <w:rStyle w:val="fontstyle01"/>
          <w:rFonts w:hint="default"/>
          <w:sz w:val="24"/>
        </w:rPr>
        <w:t>1</w:t>
      </w:r>
      <w:r w:rsidRPr="006F0D32">
        <w:rPr>
          <w:rStyle w:val="fontstyle01"/>
          <w:rFonts w:hint="default"/>
          <w:sz w:val="24"/>
        </w:rPr>
        <w:t>月</w:t>
      </w:r>
      <w:r w:rsidR="0020111B">
        <w:rPr>
          <w:rStyle w:val="fontstyle01"/>
          <w:rFonts w:hint="default"/>
          <w:sz w:val="24"/>
        </w:rPr>
        <w:t>8</w:t>
      </w:r>
      <w:r w:rsidRPr="006F0D32">
        <w:rPr>
          <w:rStyle w:val="fontstyle01"/>
          <w:rFonts w:hint="default"/>
          <w:sz w:val="24"/>
        </w:rPr>
        <w:t>日</w:t>
      </w:r>
    </w:p>
    <w:p w14:paraId="227E31AE" w14:textId="1BBDC662"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p>
    <w:sectPr w:rsidR="00425037" w:rsidRPr="00E62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384B" w14:textId="77777777" w:rsidR="00AF425D" w:rsidRDefault="00AF425D" w:rsidP="00365AAE">
      <w:r>
        <w:separator/>
      </w:r>
    </w:p>
  </w:endnote>
  <w:endnote w:type="continuationSeparator" w:id="0">
    <w:p w14:paraId="59EFB11C" w14:textId="77777777" w:rsidR="00AF425D" w:rsidRDefault="00AF425D"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500048BC" w14:textId="12700121"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D7EA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D7EA1">
              <w:rPr>
                <w:b/>
                <w:bCs/>
                <w:noProof/>
              </w:rPr>
              <w:t>3</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33C4" w14:textId="77777777" w:rsidR="00AF425D" w:rsidRDefault="00AF425D" w:rsidP="00365AAE">
      <w:r>
        <w:separator/>
      </w:r>
    </w:p>
  </w:footnote>
  <w:footnote w:type="continuationSeparator" w:id="0">
    <w:p w14:paraId="027B8A9C" w14:textId="77777777" w:rsidR="00AF425D" w:rsidRDefault="00AF425D"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5006310">
    <w:abstractNumId w:val="3"/>
  </w:num>
  <w:num w:numId="2" w16cid:durableId="1831479144">
    <w:abstractNumId w:val="0"/>
  </w:num>
  <w:num w:numId="3" w16cid:durableId="1062679486">
    <w:abstractNumId w:val="6"/>
  </w:num>
  <w:num w:numId="4" w16cid:durableId="573398217">
    <w:abstractNumId w:val="4"/>
  </w:num>
  <w:num w:numId="5" w16cid:durableId="1887133016">
    <w:abstractNumId w:val="2"/>
  </w:num>
  <w:num w:numId="6" w16cid:durableId="1193954484">
    <w:abstractNumId w:val="10"/>
  </w:num>
  <w:num w:numId="7" w16cid:durableId="1875344892">
    <w:abstractNumId w:val="5"/>
  </w:num>
  <w:num w:numId="8" w16cid:durableId="1154567140">
    <w:abstractNumId w:val="7"/>
  </w:num>
  <w:num w:numId="9" w16cid:durableId="18553355">
    <w:abstractNumId w:val="8"/>
  </w:num>
  <w:num w:numId="10" w16cid:durableId="412167939">
    <w:abstractNumId w:val="1"/>
  </w:num>
  <w:num w:numId="11" w16cid:durableId="542861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00B8"/>
    <w:rsid w:val="00001BDA"/>
    <w:rsid w:val="00002E26"/>
    <w:rsid w:val="00005240"/>
    <w:rsid w:val="000058E1"/>
    <w:rsid w:val="00010E22"/>
    <w:rsid w:val="00014B83"/>
    <w:rsid w:val="000174C1"/>
    <w:rsid w:val="00020E4F"/>
    <w:rsid w:val="0002302D"/>
    <w:rsid w:val="00023529"/>
    <w:rsid w:val="00023C9C"/>
    <w:rsid w:val="000250AB"/>
    <w:rsid w:val="000254F6"/>
    <w:rsid w:val="000261EE"/>
    <w:rsid w:val="00033094"/>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29B9"/>
    <w:rsid w:val="00093FBB"/>
    <w:rsid w:val="000947ED"/>
    <w:rsid w:val="00095DF1"/>
    <w:rsid w:val="00097E5B"/>
    <w:rsid w:val="000A04B1"/>
    <w:rsid w:val="000A1754"/>
    <w:rsid w:val="000A5BC1"/>
    <w:rsid w:val="000B47FD"/>
    <w:rsid w:val="000B5F0F"/>
    <w:rsid w:val="000B7639"/>
    <w:rsid w:val="000C73AF"/>
    <w:rsid w:val="000D0196"/>
    <w:rsid w:val="000D1E26"/>
    <w:rsid w:val="000D2200"/>
    <w:rsid w:val="000D35F8"/>
    <w:rsid w:val="000D5EAA"/>
    <w:rsid w:val="000E2D7F"/>
    <w:rsid w:val="000E7534"/>
    <w:rsid w:val="000E78E9"/>
    <w:rsid w:val="000E7FE0"/>
    <w:rsid w:val="000F1686"/>
    <w:rsid w:val="000F4915"/>
    <w:rsid w:val="000F5D40"/>
    <w:rsid w:val="00100476"/>
    <w:rsid w:val="0010150A"/>
    <w:rsid w:val="00101544"/>
    <w:rsid w:val="00102F6F"/>
    <w:rsid w:val="001066FB"/>
    <w:rsid w:val="0011140C"/>
    <w:rsid w:val="00112007"/>
    <w:rsid w:val="0011328F"/>
    <w:rsid w:val="00114288"/>
    <w:rsid w:val="0011477D"/>
    <w:rsid w:val="00117324"/>
    <w:rsid w:val="001173AD"/>
    <w:rsid w:val="001213B8"/>
    <w:rsid w:val="00123252"/>
    <w:rsid w:val="001247ED"/>
    <w:rsid w:val="001269E9"/>
    <w:rsid w:val="001275A2"/>
    <w:rsid w:val="00131218"/>
    <w:rsid w:val="00132DDE"/>
    <w:rsid w:val="001344B4"/>
    <w:rsid w:val="00137C2A"/>
    <w:rsid w:val="00141FD8"/>
    <w:rsid w:val="00145A69"/>
    <w:rsid w:val="001517B9"/>
    <w:rsid w:val="00157A64"/>
    <w:rsid w:val="0016031C"/>
    <w:rsid w:val="00162C97"/>
    <w:rsid w:val="001669D2"/>
    <w:rsid w:val="00166DA7"/>
    <w:rsid w:val="0017049B"/>
    <w:rsid w:val="00174182"/>
    <w:rsid w:val="00177145"/>
    <w:rsid w:val="00177CF1"/>
    <w:rsid w:val="00180456"/>
    <w:rsid w:val="0018092F"/>
    <w:rsid w:val="001907FC"/>
    <w:rsid w:val="00191013"/>
    <w:rsid w:val="00192E2D"/>
    <w:rsid w:val="001942EC"/>
    <w:rsid w:val="001955B4"/>
    <w:rsid w:val="001A042B"/>
    <w:rsid w:val="001A1A4D"/>
    <w:rsid w:val="001A5068"/>
    <w:rsid w:val="001A5847"/>
    <w:rsid w:val="001A621A"/>
    <w:rsid w:val="001A717C"/>
    <w:rsid w:val="001B0808"/>
    <w:rsid w:val="001B24DD"/>
    <w:rsid w:val="001B29F6"/>
    <w:rsid w:val="001B2D7D"/>
    <w:rsid w:val="001B3622"/>
    <w:rsid w:val="001C05F7"/>
    <w:rsid w:val="001C33C8"/>
    <w:rsid w:val="001C374B"/>
    <w:rsid w:val="001C3B2A"/>
    <w:rsid w:val="001C42B0"/>
    <w:rsid w:val="001C4A23"/>
    <w:rsid w:val="001C4E84"/>
    <w:rsid w:val="001C62FC"/>
    <w:rsid w:val="001D135E"/>
    <w:rsid w:val="001D3541"/>
    <w:rsid w:val="001D5517"/>
    <w:rsid w:val="001D6E0E"/>
    <w:rsid w:val="001E61E3"/>
    <w:rsid w:val="001F2DA6"/>
    <w:rsid w:val="001F5123"/>
    <w:rsid w:val="0020111B"/>
    <w:rsid w:val="00203417"/>
    <w:rsid w:val="00205B09"/>
    <w:rsid w:val="00207180"/>
    <w:rsid w:val="00207A9E"/>
    <w:rsid w:val="0021044B"/>
    <w:rsid w:val="00210A3D"/>
    <w:rsid w:val="00210D61"/>
    <w:rsid w:val="002122EE"/>
    <w:rsid w:val="002141C9"/>
    <w:rsid w:val="00214B6D"/>
    <w:rsid w:val="00215E0D"/>
    <w:rsid w:val="0022073F"/>
    <w:rsid w:val="00222329"/>
    <w:rsid w:val="00222CCD"/>
    <w:rsid w:val="00224D51"/>
    <w:rsid w:val="0023010E"/>
    <w:rsid w:val="002341F8"/>
    <w:rsid w:val="00235013"/>
    <w:rsid w:val="0023581E"/>
    <w:rsid w:val="00236248"/>
    <w:rsid w:val="00241F4E"/>
    <w:rsid w:val="00243B5B"/>
    <w:rsid w:val="00245A2F"/>
    <w:rsid w:val="00253475"/>
    <w:rsid w:val="0025353D"/>
    <w:rsid w:val="002554B9"/>
    <w:rsid w:val="00255670"/>
    <w:rsid w:val="00260B25"/>
    <w:rsid w:val="00261F6B"/>
    <w:rsid w:val="00266CEE"/>
    <w:rsid w:val="002675C8"/>
    <w:rsid w:val="00267AE0"/>
    <w:rsid w:val="00270F57"/>
    <w:rsid w:val="002720F5"/>
    <w:rsid w:val="002760FE"/>
    <w:rsid w:val="0027799D"/>
    <w:rsid w:val="00277ACC"/>
    <w:rsid w:val="00283B05"/>
    <w:rsid w:val="00284D97"/>
    <w:rsid w:val="00285320"/>
    <w:rsid w:val="002904A8"/>
    <w:rsid w:val="002919A4"/>
    <w:rsid w:val="0029254F"/>
    <w:rsid w:val="00295FDD"/>
    <w:rsid w:val="00296343"/>
    <w:rsid w:val="002A31F4"/>
    <w:rsid w:val="002A41D4"/>
    <w:rsid w:val="002A5EED"/>
    <w:rsid w:val="002A61A3"/>
    <w:rsid w:val="002A6FCF"/>
    <w:rsid w:val="002B048B"/>
    <w:rsid w:val="002B07A4"/>
    <w:rsid w:val="002B266E"/>
    <w:rsid w:val="002B66AF"/>
    <w:rsid w:val="002B77DC"/>
    <w:rsid w:val="002C1172"/>
    <w:rsid w:val="002C4148"/>
    <w:rsid w:val="002C4E8E"/>
    <w:rsid w:val="002D0999"/>
    <w:rsid w:val="002D2938"/>
    <w:rsid w:val="002D3113"/>
    <w:rsid w:val="002D49AE"/>
    <w:rsid w:val="002D59C0"/>
    <w:rsid w:val="002E281B"/>
    <w:rsid w:val="002F0E59"/>
    <w:rsid w:val="002F5D13"/>
    <w:rsid w:val="00302232"/>
    <w:rsid w:val="00304929"/>
    <w:rsid w:val="00310456"/>
    <w:rsid w:val="003126D9"/>
    <w:rsid w:val="003159E9"/>
    <w:rsid w:val="003209DA"/>
    <w:rsid w:val="00325628"/>
    <w:rsid w:val="00326452"/>
    <w:rsid w:val="00326F85"/>
    <w:rsid w:val="00331F45"/>
    <w:rsid w:val="003338F8"/>
    <w:rsid w:val="0034215D"/>
    <w:rsid w:val="00344BE5"/>
    <w:rsid w:val="003467AA"/>
    <w:rsid w:val="00354647"/>
    <w:rsid w:val="00355764"/>
    <w:rsid w:val="00357F7B"/>
    <w:rsid w:val="003612B2"/>
    <w:rsid w:val="003631C1"/>
    <w:rsid w:val="0036428C"/>
    <w:rsid w:val="00365AAE"/>
    <w:rsid w:val="00371B5E"/>
    <w:rsid w:val="0037301E"/>
    <w:rsid w:val="0037486A"/>
    <w:rsid w:val="00376E51"/>
    <w:rsid w:val="00380763"/>
    <w:rsid w:val="003863B3"/>
    <w:rsid w:val="003872DB"/>
    <w:rsid w:val="003A2504"/>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D073D"/>
    <w:rsid w:val="003D245A"/>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12A7"/>
    <w:rsid w:val="00421464"/>
    <w:rsid w:val="00421674"/>
    <w:rsid w:val="00422C06"/>
    <w:rsid w:val="00425037"/>
    <w:rsid w:val="00427335"/>
    <w:rsid w:val="00430DF2"/>
    <w:rsid w:val="00433EED"/>
    <w:rsid w:val="00435630"/>
    <w:rsid w:val="004365D2"/>
    <w:rsid w:val="00442C16"/>
    <w:rsid w:val="00444D16"/>
    <w:rsid w:val="00445034"/>
    <w:rsid w:val="004460DA"/>
    <w:rsid w:val="00454A60"/>
    <w:rsid w:val="004557F3"/>
    <w:rsid w:val="00455DA6"/>
    <w:rsid w:val="00460B84"/>
    <w:rsid w:val="00464584"/>
    <w:rsid w:val="004658F6"/>
    <w:rsid w:val="00465F50"/>
    <w:rsid w:val="004662F7"/>
    <w:rsid w:val="00467DB6"/>
    <w:rsid w:val="00471C18"/>
    <w:rsid w:val="00474A6B"/>
    <w:rsid w:val="004762C3"/>
    <w:rsid w:val="0048029E"/>
    <w:rsid w:val="0048465D"/>
    <w:rsid w:val="004854F1"/>
    <w:rsid w:val="00485F14"/>
    <w:rsid w:val="0048600A"/>
    <w:rsid w:val="00490D32"/>
    <w:rsid w:val="00492D10"/>
    <w:rsid w:val="004A13A2"/>
    <w:rsid w:val="004A5C11"/>
    <w:rsid w:val="004A606E"/>
    <w:rsid w:val="004A72AC"/>
    <w:rsid w:val="004B00F1"/>
    <w:rsid w:val="004B37CD"/>
    <w:rsid w:val="004B52AF"/>
    <w:rsid w:val="004B792E"/>
    <w:rsid w:val="004C0C2D"/>
    <w:rsid w:val="004C1B6D"/>
    <w:rsid w:val="004C26EE"/>
    <w:rsid w:val="004C4EAA"/>
    <w:rsid w:val="004C66D9"/>
    <w:rsid w:val="004C7109"/>
    <w:rsid w:val="004C7424"/>
    <w:rsid w:val="004D0091"/>
    <w:rsid w:val="004D41D3"/>
    <w:rsid w:val="004E175B"/>
    <w:rsid w:val="004E23F6"/>
    <w:rsid w:val="004E2F28"/>
    <w:rsid w:val="004E37C8"/>
    <w:rsid w:val="004E465E"/>
    <w:rsid w:val="004F1C66"/>
    <w:rsid w:val="004F4894"/>
    <w:rsid w:val="004F5C8A"/>
    <w:rsid w:val="004F7E42"/>
    <w:rsid w:val="00500E6C"/>
    <w:rsid w:val="00501215"/>
    <w:rsid w:val="0050135F"/>
    <w:rsid w:val="00501BB8"/>
    <w:rsid w:val="00504AFE"/>
    <w:rsid w:val="005053B3"/>
    <w:rsid w:val="00506BC8"/>
    <w:rsid w:val="00511726"/>
    <w:rsid w:val="005125CF"/>
    <w:rsid w:val="005135D4"/>
    <w:rsid w:val="005152E4"/>
    <w:rsid w:val="00517A5D"/>
    <w:rsid w:val="00521719"/>
    <w:rsid w:val="00521F63"/>
    <w:rsid w:val="00527E9F"/>
    <w:rsid w:val="00527F7D"/>
    <w:rsid w:val="00530168"/>
    <w:rsid w:val="00532257"/>
    <w:rsid w:val="00535467"/>
    <w:rsid w:val="005371D6"/>
    <w:rsid w:val="00537E7D"/>
    <w:rsid w:val="005401F3"/>
    <w:rsid w:val="00541175"/>
    <w:rsid w:val="0054160F"/>
    <w:rsid w:val="00541F8A"/>
    <w:rsid w:val="0054224F"/>
    <w:rsid w:val="0054268A"/>
    <w:rsid w:val="0054295E"/>
    <w:rsid w:val="00542D7E"/>
    <w:rsid w:val="00544D87"/>
    <w:rsid w:val="0054568F"/>
    <w:rsid w:val="00545A92"/>
    <w:rsid w:val="005464EF"/>
    <w:rsid w:val="00546F12"/>
    <w:rsid w:val="00550849"/>
    <w:rsid w:val="005524D1"/>
    <w:rsid w:val="00553338"/>
    <w:rsid w:val="00554755"/>
    <w:rsid w:val="005564A8"/>
    <w:rsid w:val="005605F3"/>
    <w:rsid w:val="00567F4C"/>
    <w:rsid w:val="00570503"/>
    <w:rsid w:val="005753C4"/>
    <w:rsid w:val="00576526"/>
    <w:rsid w:val="005773C9"/>
    <w:rsid w:val="005802CC"/>
    <w:rsid w:val="0058042C"/>
    <w:rsid w:val="005824BB"/>
    <w:rsid w:val="005830BE"/>
    <w:rsid w:val="00583688"/>
    <w:rsid w:val="0058481F"/>
    <w:rsid w:val="00586012"/>
    <w:rsid w:val="005868FC"/>
    <w:rsid w:val="00586BBC"/>
    <w:rsid w:val="00586C20"/>
    <w:rsid w:val="00590E15"/>
    <w:rsid w:val="00591C6D"/>
    <w:rsid w:val="005922DC"/>
    <w:rsid w:val="00593377"/>
    <w:rsid w:val="005933BD"/>
    <w:rsid w:val="005A028A"/>
    <w:rsid w:val="005A1F32"/>
    <w:rsid w:val="005A28BE"/>
    <w:rsid w:val="005A2FEE"/>
    <w:rsid w:val="005B0B7E"/>
    <w:rsid w:val="005B6227"/>
    <w:rsid w:val="005B7A27"/>
    <w:rsid w:val="005C01F5"/>
    <w:rsid w:val="005C2693"/>
    <w:rsid w:val="005C3713"/>
    <w:rsid w:val="005C40A7"/>
    <w:rsid w:val="005C40DC"/>
    <w:rsid w:val="005C71C1"/>
    <w:rsid w:val="005C778E"/>
    <w:rsid w:val="005D2178"/>
    <w:rsid w:val="005D3EC3"/>
    <w:rsid w:val="005E039A"/>
    <w:rsid w:val="005E1A34"/>
    <w:rsid w:val="005E3506"/>
    <w:rsid w:val="005E7807"/>
    <w:rsid w:val="005E79A8"/>
    <w:rsid w:val="005F2CE1"/>
    <w:rsid w:val="005F4384"/>
    <w:rsid w:val="005F4AB8"/>
    <w:rsid w:val="005F5FCB"/>
    <w:rsid w:val="005F630A"/>
    <w:rsid w:val="005F6902"/>
    <w:rsid w:val="00611613"/>
    <w:rsid w:val="00612F9D"/>
    <w:rsid w:val="00613E63"/>
    <w:rsid w:val="00613F18"/>
    <w:rsid w:val="006156C8"/>
    <w:rsid w:val="00621250"/>
    <w:rsid w:val="0062413F"/>
    <w:rsid w:val="00624A17"/>
    <w:rsid w:val="00626288"/>
    <w:rsid w:val="00632E19"/>
    <w:rsid w:val="00633034"/>
    <w:rsid w:val="0063329E"/>
    <w:rsid w:val="00634469"/>
    <w:rsid w:val="006348B8"/>
    <w:rsid w:val="00640BAF"/>
    <w:rsid w:val="00641D42"/>
    <w:rsid w:val="0064318D"/>
    <w:rsid w:val="00643B05"/>
    <w:rsid w:val="00644570"/>
    <w:rsid w:val="006451DF"/>
    <w:rsid w:val="006465C8"/>
    <w:rsid w:val="00651E1E"/>
    <w:rsid w:val="0065465D"/>
    <w:rsid w:val="00654DF0"/>
    <w:rsid w:val="00661B5D"/>
    <w:rsid w:val="006621E1"/>
    <w:rsid w:val="00662574"/>
    <w:rsid w:val="00664490"/>
    <w:rsid w:val="00665006"/>
    <w:rsid w:val="006652F8"/>
    <w:rsid w:val="00665EE3"/>
    <w:rsid w:val="0067120A"/>
    <w:rsid w:val="00675449"/>
    <w:rsid w:val="00675979"/>
    <w:rsid w:val="00677A37"/>
    <w:rsid w:val="0068027C"/>
    <w:rsid w:val="006822D0"/>
    <w:rsid w:val="00685A84"/>
    <w:rsid w:val="00691B4D"/>
    <w:rsid w:val="00691D19"/>
    <w:rsid w:val="006944DC"/>
    <w:rsid w:val="00695505"/>
    <w:rsid w:val="006A1BB6"/>
    <w:rsid w:val="006A491B"/>
    <w:rsid w:val="006A5272"/>
    <w:rsid w:val="006A6C87"/>
    <w:rsid w:val="006B2FB9"/>
    <w:rsid w:val="006B5553"/>
    <w:rsid w:val="006B749D"/>
    <w:rsid w:val="006C1AC3"/>
    <w:rsid w:val="006C2604"/>
    <w:rsid w:val="006C269E"/>
    <w:rsid w:val="006C2A8D"/>
    <w:rsid w:val="006C2B42"/>
    <w:rsid w:val="006C4425"/>
    <w:rsid w:val="006C49AA"/>
    <w:rsid w:val="006C6595"/>
    <w:rsid w:val="006D094F"/>
    <w:rsid w:val="006D099A"/>
    <w:rsid w:val="006D0E0C"/>
    <w:rsid w:val="006D0EA4"/>
    <w:rsid w:val="006D1604"/>
    <w:rsid w:val="006D25B5"/>
    <w:rsid w:val="006D39EF"/>
    <w:rsid w:val="006D4799"/>
    <w:rsid w:val="006D4A4F"/>
    <w:rsid w:val="006D6469"/>
    <w:rsid w:val="006D750F"/>
    <w:rsid w:val="006E0DAB"/>
    <w:rsid w:val="006E25E5"/>
    <w:rsid w:val="006F173C"/>
    <w:rsid w:val="006F49DD"/>
    <w:rsid w:val="006F5AD2"/>
    <w:rsid w:val="006F5D23"/>
    <w:rsid w:val="007004C1"/>
    <w:rsid w:val="00702905"/>
    <w:rsid w:val="00703E0F"/>
    <w:rsid w:val="007047B6"/>
    <w:rsid w:val="007059F7"/>
    <w:rsid w:val="00712104"/>
    <w:rsid w:val="007123B9"/>
    <w:rsid w:val="00713A68"/>
    <w:rsid w:val="00713EC9"/>
    <w:rsid w:val="00714C5F"/>
    <w:rsid w:val="00716150"/>
    <w:rsid w:val="007161E1"/>
    <w:rsid w:val="00716EA4"/>
    <w:rsid w:val="00721CA0"/>
    <w:rsid w:val="00722D1B"/>
    <w:rsid w:val="0072630A"/>
    <w:rsid w:val="00726544"/>
    <w:rsid w:val="007265CF"/>
    <w:rsid w:val="00726997"/>
    <w:rsid w:val="00732D56"/>
    <w:rsid w:val="00733004"/>
    <w:rsid w:val="0073559F"/>
    <w:rsid w:val="00735A7F"/>
    <w:rsid w:val="00736C83"/>
    <w:rsid w:val="007411D5"/>
    <w:rsid w:val="007413E2"/>
    <w:rsid w:val="00742377"/>
    <w:rsid w:val="007440CB"/>
    <w:rsid w:val="00746955"/>
    <w:rsid w:val="0075521A"/>
    <w:rsid w:val="00756AAB"/>
    <w:rsid w:val="00757C89"/>
    <w:rsid w:val="007612C5"/>
    <w:rsid w:val="00765DC2"/>
    <w:rsid w:val="0076630D"/>
    <w:rsid w:val="00766BB2"/>
    <w:rsid w:val="00766FF6"/>
    <w:rsid w:val="007679DD"/>
    <w:rsid w:val="0077387C"/>
    <w:rsid w:val="00774073"/>
    <w:rsid w:val="00777F49"/>
    <w:rsid w:val="00783D41"/>
    <w:rsid w:val="00784784"/>
    <w:rsid w:val="0078729C"/>
    <w:rsid w:val="00790360"/>
    <w:rsid w:val="00795685"/>
    <w:rsid w:val="007A2A11"/>
    <w:rsid w:val="007B3B89"/>
    <w:rsid w:val="007B4569"/>
    <w:rsid w:val="007B5657"/>
    <w:rsid w:val="007C0958"/>
    <w:rsid w:val="007C2154"/>
    <w:rsid w:val="007C267F"/>
    <w:rsid w:val="007C5AE7"/>
    <w:rsid w:val="007C5E99"/>
    <w:rsid w:val="007C6919"/>
    <w:rsid w:val="007D1729"/>
    <w:rsid w:val="007D27B3"/>
    <w:rsid w:val="007D5692"/>
    <w:rsid w:val="007E0441"/>
    <w:rsid w:val="007E476E"/>
    <w:rsid w:val="007E6771"/>
    <w:rsid w:val="007E73B6"/>
    <w:rsid w:val="007F14FD"/>
    <w:rsid w:val="007F2D95"/>
    <w:rsid w:val="007F6F85"/>
    <w:rsid w:val="007F7F49"/>
    <w:rsid w:val="00800A29"/>
    <w:rsid w:val="008043E7"/>
    <w:rsid w:val="0080660F"/>
    <w:rsid w:val="008077C7"/>
    <w:rsid w:val="00811230"/>
    <w:rsid w:val="00811575"/>
    <w:rsid w:val="00811EAE"/>
    <w:rsid w:val="00813893"/>
    <w:rsid w:val="00814414"/>
    <w:rsid w:val="008153EC"/>
    <w:rsid w:val="008176A9"/>
    <w:rsid w:val="00822AC4"/>
    <w:rsid w:val="00822D18"/>
    <w:rsid w:val="00823E1C"/>
    <w:rsid w:val="00832E39"/>
    <w:rsid w:val="00834053"/>
    <w:rsid w:val="0083424D"/>
    <w:rsid w:val="008342AD"/>
    <w:rsid w:val="0083618C"/>
    <w:rsid w:val="00837782"/>
    <w:rsid w:val="0084290B"/>
    <w:rsid w:val="008453A1"/>
    <w:rsid w:val="00847BBD"/>
    <w:rsid w:val="00854B77"/>
    <w:rsid w:val="00854E78"/>
    <w:rsid w:val="00855030"/>
    <w:rsid w:val="00855C6E"/>
    <w:rsid w:val="00857FCC"/>
    <w:rsid w:val="00860484"/>
    <w:rsid w:val="0087270A"/>
    <w:rsid w:val="0087428D"/>
    <w:rsid w:val="0087668A"/>
    <w:rsid w:val="00877976"/>
    <w:rsid w:val="00880391"/>
    <w:rsid w:val="0088321C"/>
    <w:rsid w:val="0088328C"/>
    <w:rsid w:val="00883BD0"/>
    <w:rsid w:val="0088479E"/>
    <w:rsid w:val="00885EB1"/>
    <w:rsid w:val="0089109C"/>
    <w:rsid w:val="00893151"/>
    <w:rsid w:val="008A30E5"/>
    <w:rsid w:val="008A3864"/>
    <w:rsid w:val="008A61A7"/>
    <w:rsid w:val="008A79C5"/>
    <w:rsid w:val="008B33FA"/>
    <w:rsid w:val="008B55EF"/>
    <w:rsid w:val="008B7B0C"/>
    <w:rsid w:val="008C167A"/>
    <w:rsid w:val="008C17B5"/>
    <w:rsid w:val="008C1C87"/>
    <w:rsid w:val="008C320D"/>
    <w:rsid w:val="008C3B07"/>
    <w:rsid w:val="008C5D19"/>
    <w:rsid w:val="008C756F"/>
    <w:rsid w:val="008D1D9F"/>
    <w:rsid w:val="008D1FAE"/>
    <w:rsid w:val="008D278A"/>
    <w:rsid w:val="008D2909"/>
    <w:rsid w:val="008D682B"/>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2FF0"/>
    <w:rsid w:val="00914B3D"/>
    <w:rsid w:val="00915875"/>
    <w:rsid w:val="00917B5C"/>
    <w:rsid w:val="0092266B"/>
    <w:rsid w:val="0092372C"/>
    <w:rsid w:val="00927B28"/>
    <w:rsid w:val="00930878"/>
    <w:rsid w:val="00932D42"/>
    <w:rsid w:val="009429B1"/>
    <w:rsid w:val="0094443D"/>
    <w:rsid w:val="00946B3E"/>
    <w:rsid w:val="009533E2"/>
    <w:rsid w:val="00956697"/>
    <w:rsid w:val="00960435"/>
    <w:rsid w:val="00960E07"/>
    <w:rsid w:val="00961C80"/>
    <w:rsid w:val="00962DDD"/>
    <w:rsid w:val="00963592"/>
    <w:rsid w:val="00972A04"/>
    <w:rsid w:val="0097646A"/>
    <w:rsid w:val="00977E68"/>
    <w:rsid w:val="00980DA4"/>
    <w:rsid w:val="00982767"/>
    <w:rsid w:val="009839D8"/>
    <w:rsid w:val="00985CB4"/>
    <w:rsid w:val="00986A8D"/>
    <w:rsid w:val="00991525"/>
    <w:rsid w:val="009918C5"/>
    <w:rsid w:val="00997B68"/>
    <w:rsid w:val="009A38E4"/>
    <w:rsid w:val="009A5878"/>
    <w:rsid w:val="009B0F64"/>
    <w:rsid w:val="009B1370"/>
    <w:rsid w:val="009B5615"/>
    <w:rsid w:val="009C08DE"/>
    <w:rsid w:val="009C190B"/>
    <w:rsid w:val="009C21C4"/>
    <w:rsid w:val="009C319E"/>
    <w:rsid w:val="009C63AA"/>
    <w:rsid w:val="009C651F"/>
    <w:rsid w:val="009C7497"/>
    <w:rsid w:val="009D1786"/>
    <w:rsid w:val="009D33B5"/>
    <w:rsid w:val="009D4204"/>
    <w:rsid w:val="009D52B6"/>
    <w:rsid w:val="009D7CB9"/>
    <w:rsid w:val="009E2A54"/>
    <w:rsid w:val="009E3430"/>
    <w:rsid w:val="009E55A2"/>
    <w:rsid w:val="009F27A5"/>
    <w:rsid w:val="009F365C"/>
    <w:rsid w:val="009F529B"/>
    <w:rsid w:val="009F766D"/>
    <w:rsid w:val="00A01350"/>
    <w:rsid w:val="00A0257F"/>
    <w:rsid w:val="00A03A0F"/>
    <w:rsid w:val="00A04DD6"/>
    <w:rsid w:val="00A059AE"/>
    <w:rsid w:val="00A10877"/>
    <w:rsid w:val="00A1121F"/>
    <w:rsid w:val="00A12527"/>
    <w:rsid w:val="00A127E4"/>
    <w:rsid w:val="00A12A8E"/>
    <w:rsid w:val="00A1534C"/>
    <w:rsid w:val="00A15712"/>
    <w:rsid w:val="00A172D1"/>
    <w:rsid w:val="00A21EB1"/>
    <w:rsid w:val="00A24BE8"/>
    <w:rsid w:val="00A25B76"/>
    <w:rsid w:val="00A26F28"/>
    <w:rsid w:val="00A27186"/>
    <w:rsid w:val="00A317A6"/>
    <w:rsid w:val="00A34AA7"/>
    <w:rsid w:val="00A35094"/>
    <w:rsid w:val="00A3548C"/>
    <w:rsid w:val="00A3548D"/>
    <w:rsid w:val="00A37A13"/>
    <w:rsid w:val="00A40BDD"/>
    <w:rsid w:val="00A43608"/>
    <w:rsid w:val="00A47DCA"/>
    <w:rsid w:val="00A535FC"/>
    <w:rsid w:val="00A572C7"/>
    <w:rsid w:val="00A60865"/>
    <w:rsid w:val="00A626B8"/>
    <w:rsid w:val="00A64D80"/>
    <w:rsid w:val="00A65147"/>
    <w:rsid w:val="00A67636"/>
    <w:rsid w:val="00A67DC4"/>
    <w:rsid w:val="00A70198"/>
    <w:rsid w:val="00A70C45"/>
    <w:rsid w:val="00A71A94"/>
    <w:rsid w:val="00A77FE5"/>
    <w:rsid w:val="00A83D66"/>
    <w:rsid w:val="00A86841"/>
    <w:rsid w:val="00A86A09"/>
    <w:rsid w:val="00A86EA9"/>
    <w:rsid w:val="00A90134"/>
    <w:rsid w:val="00A91A38"/>
    <w:rsid w:val="00A92301"/>
    <w:rsid w:val="00A94669"/>
    <w:rsid w:val="00A96169"/>
    <w:rsid w:val="00A962B6"/>
    <w:rsid w:val="00A978B6"/>
    <w:rsid w:val="00A979BD"/>
    <w:rsid w:val="00AA0476"/>
    <w:rsid w:val="00AA3065"/>
    <w:rsid w:val="00AA3FEB"/>
    <w:rsid w:val="00AA4004"/>
    <w:rsid w:val="00AA6E8A"/>
    <w:rsid w:val="00AB029A"/>
    <w:rsid w:val="00AB37C7"/>
    <w:rsid w:val="00AB41D0"/>
    <w:rsid w:val="00AB487A"/>
    <w:rsid w:val="00AB4F4C"/>
    <w:rsid w:val="00AB5ECB"/>
    <w:rsid w:val="00AB7C33"/>
    <w:rsid w:val="00AB7FAB"/>
    <w:rsid w:val="00AC5BB8"/>
    <w:rsid w:val="00AD137F"/>
    <w:rsid w:val="00AD21DA"/>
    <w:rsid w:val="00AD39A9"/>
    <w:rsid w:val="00AD4191"/>
    <w:rsid w:val="00AD45A6"/>
    <w:rsid w:val="00AD6E9E"/>
    <w:rsid w:val="00AE4893"/>
    <w:rsid w:val="00AE52E2"/>
    <w:rsid w:val="00AE560B"/>
    <w:rsid w:val="00AE642A"/>
    <w:rsid w:val="00AF028F"/>
    <w:rsid w:val="00AF0484"/>
    <w:rsid w:val="00AF425D"/>
    <w:rsid w:val="00AF45BC"/>
    <w:rsid w:val="00AF46C5"/>
    <w:rsid w:val="00AF6EC1"/>
    <w:rsid w:val="00B03B14"/>
    <w:rsid w:val="00B05D74"/>
    <w:rsid w:val="00B06D72"/>
    <w:rsid w:val="00B074C2"/>
    <w:rsid w:val="00B102D2"/>
    <w:rsid w:val="00B120F9"/>
    <w:rsid w:val="00B1360E"/>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37708"/>
    <w:rsid w:val="00B40CA1"/>
    <w:rsid w:val="00B42808"/>
    <w:rsid w:val="00B46D80"/>
    <w:rsid w:val="00B54C73"/>
    <w:rsid w:val="00B5539B"/>
    <w:rsid w:val="00B6168F"/>
    <w:rsid w:val="00B6231B"/>
    <w:rsid w:val="00B627E5"/>
    <w:rsid w:val="00B65549"/>
    <w:rsid w:val="00B716EF"/>
    <w:rsid w:val="00B71814"/>
    <w:rsid w:val="00B728EA"/>
    <w:rsid w:val="00B736FD"/>
    <w:rsid w:val="00B77DBB"/>
    <w:rsid w:val="00B8176E"/>
    <w:rsid w:val="00B864F9"/>
    <w:rsid w:val="00B911F6"/>
    <w:rsid w:val="00B91DBC"/>
    <w:rsid w:val="00B93069"/>
    <w:rsid w:val="00B94C58"/>
    <w:rsid w:val="00BA352C"/>
    <w:rsid w:val="00BA3F4B"/>
    <w:rsid w:val="00BA5FD2"/>
    <w:rsid w:val="00BA7A2E"/>
    <w:rsid w:val="00BA7D2C"/>
    <w:rsid w:val="00BB10EA"/>
    <w:rsid w:val="00BB169F"/>
    <w:rsid w:val="00BB4D28"/>
    <w:rsid w:val="00BC0112"/>
    <w:rsid w:val="00BC1433"/>
    <w:rsid w:val="00BC53B6"/>
    <w:rsid w:val="00BC59CA"/>
    <w:rsid w:val="00BC7331"/>
    <w:rsid w:val="00BD027E"/>
    <w:rsid w:val="00BD0902"/>
    <w:rsid w:val="00BD1257"/>
    <w:rsid w:val="00BD4C06"/>
    <w:rsid w:val="00BD5559"/>
    <w:rsid w:val="00BD5A99"/>
    <w:rsid w:val="00BD70F4"/>
    <w:rsid w:val="00BD71E3"/>
    <w:rsid w:val="00BE2D77"/>
    <w:rsid w:val="00BE3868"/>
    <w:rsid w:val="00BE3C34"/>
    <w:rsid w:val="00BE73FF"/>
    <w:rsid w:val="00BF0193"/>
    <w:rsid w:val="00BF36C3"/>
    <w:rsid w:val="00BF4D0E"/>
    <w:rsid w:val="00BF7989"/>
    <w:rsid w:val="00C027CB"/>
    <w:rsid w:val="00C049C3"/>
    <w:rsid w:val="00C052CE"/>
    <w:rsid w:val="00C05D55"/>
    <w:rsid w:val="00C06AAE"/>
    <w:rsid w:val="00C07FCF"/>
    <w:rsid w:val="00C1525C"/>
    <w:rsid w:val="00C17FDE"/>
    <w:rsid w:val="00C20BF0"/>
    <w:rsid w:val="00C22A25"/>
    <w:rsid w:val="00C22AFF"/>
    <w:rsid w:val="00C24329"/>
    <w:rsid w:val="00C2715D"/>
    <w:rsid w:val="00C30580"/>
    <w:rsid w:val="00C362AB"/>
    <w:rsid w:val="00C36EDF"/>
    <w:rsid w:val="00C371D5"/>
    <w:rsid w:val="00C4018B"/>
    <w:rsid w:val="00C40435"/>
    <w:rsid w:val="00C40984"/>
    <w:rsid w:val="00C44873"/>
    <w:rsid w:val="00C47AAF"/>
    <w:rsid w:val="00C51A83"/>
    <w:rsid w:val="00C51D1E"/>
    <w:rsid w:val="00C57C13"/>
    <w:rsid w:val="00C63AD8"/>
    <w:rsid w:val="00C65CBB"/>
    <w:rsid w:val="00C66BB8"/>
    <w:rsid w:val="00C67A25"/>
    <w:rsid w:val="00C7036A"/>
    <w:rsid w:val="00C74349"/>
    <w:rsid w:val="00C74ADE"/>
    <w:rsid w:val="00C76B1B"/>
    <w:rsid w:val="00C801DE"/>
    <w:rsid w:val="00C809D6"/>
    <w:rsid w:val="00C877C7"/>
    <w:rsid w:val="00C90AA7"/>
    <w:rsid w:val="00C921BE"/>
    <w:rsid w:val="00C9288B"/>
    <w:rsid w:val="00C92C00"/>
    <w:rsid w:val="00C94B75"/>
    <w:rsid w:val="00C9574E"/>
    <w:rsid w:val="00C972AE"/>
    <w:rsid w:val="00C97C86"/>
    <w:rsid w:val="00CA4546"/>
    <w:rsid w:val="00CA4E7C"/>
    <w:rsid w:val="00CA5609"/>
    <w:rsid w:val="00CB18A9"/>
    <w:rsid w:val="00CB2133"/>
    <w:rsid w:val="00CB288A"/>
    <w:rsid w:val="00CB5978"/>
    <w:rsid w:val="00CB65AF"/>
    <w:rsid w:val="00CB74F3"/>
    <w:rsid w:val="00CC0727"/>
    <w:rsid w:val="00CC2D16"/>
    <w:rsid w:val="00CC431D"/>
    <w:rsid w:val="00CD0508"/>
    <w:rsid w:val="00CD7B0B"/>
    <w:rsid w:val="00CE04D0"/>
    <w:rsid w:val="00CF5272"/>
    <w:rsid w:val="00CF579A"/>
    <w:rsid w:val="00CF6F09"/>
    <w:rsid w:val="00D02537"/>
    <w:rsid w:val="00D02DBD"/>
    <w:rsid w:val="00D07290"/>
    <w:rsid w:val="00D10C3B"/>
    <w:rsid w:val="00D123A9"/>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326"/>
    <w:rsid w:val="00D8683D"/>
    <w:rsid w:val="00D8731E"/>
    <w:rsid w:val="00D877F7"/>
    <w:rsid w:val="00D9545B"/>
    <w:rsid w:val="00D95FB9"/>
    <w:rsid w:val="00D9700B"/>
    <w:rsid w:val="00DA05EF"/>
    <w:rsid w:val="00DA40D5"/>
    <w:rsid w:val="00DA4AEA"/>
    <w:rsid w:val="00DB0D38"/>
    <w:rsid w:val="00DB25AD"/>
    <w:rsid w:val="00DB5078"/>
    <w:rsid w:val="00DB7887"/>
    <w:rsid w:val="00DB7F13"/>
    <w:rsid w:val="00DC0D6A"/>
    <w:rsid w:val="00DC2410"/>
    <w:rsid w:val="00DC3A15"/>
    <w:rsid w:val="00DC6FE0"/>
    <w:rsid w:val="00DD3FBE"/>
    <w:rsid w:val="00DD443D"/>
    <w:rsid w:val="00DE35B9"/>
    <w:rsid w:val="00E044D8"/>
    <w:rsid w:val="00E04BB6"/>
    <w:rsid w:val="00E0544C"/>
    <w:rsid w:val="00E05A11"/>
    <w:rsid w:val="00E10FA7"/>
    <w:rsid w:val="00E13D9C"/>
    <w:rsid w:val="00E17E25"/>
    <w:rsid w:val="00E213F8"/>
    <w:rsid w:val="00E21848"/>
    <w:rsid w:val="00E25EF1"/>
    <w:rsid w:val="00E27CEB"/>
    <w:rsid w:val="00E3680A"/>
    <w:rsid w:val="00E418D0"/>
    <w:rsid w:val="00E41F72"/>
    <w:rsid w:val="00E4204C"/>
    <w:rsid w:val="00E451B4"/>
    <w:rsid w:val="00E45353"/>
    <w:rsid w:val="00E461F7"/>
    <w:rsid w:val="00E46972"/>
    <w:rsid w:val="00E50758"/>
    <w:rsid w:val="00E508EE"/>
    <w:rsid w:val="00E5455E"/>
    <w:rsid w:val="00E54705"/>
    <w:rsid w:val="00E55F25"/>
    <w:rsid w:val="00E568DB"/>
    <w:rsid w:val="00E57FB7"/>
    <w:rsid w:val="00E627AD"/>
    <w:rsid w:val="00E6322F"/>
    <w:rsid w:val="00E6495A"/>
    <w:rsid w:val="00E66F65"/>
    <w:rsid w:val="00E67077"/>
    <w:rsid w:val="00E67D35"/>
    <w:rsid w:val="00E70741"/>
    <w:rsid w:val="00E70C9C"/>
    <w:rsid w:val="00E719B3"/>
    <w:rsid w:val="00E72A65"/>
    <w:rsid w:val="00E74438"/>
    <w:rsid w:val="00E7740D"/>
    <w:rsid w:val="00E82081"/>
    <w:rsid w:val="00E8296E"/>
    <w:rsid w:val="00E83187"/>
    <w:rsid w:val="00E840D3"/>
    <w:rsid w:val="00E85A19"/>
    <w:rsid w:val="00E85DCA"/>
    <w:rsid w:val="00E876F9"/>
    <w:rsid w:val="00E87EE9"/>
    <w:rsid w:val="00E9030A"/>
    <w:rsid w:val="00E9624C"/>
    <w:rsid w:val="00E967E6"/>
    <w:rsid w:val="00EA3464"/>
    <w:rsid w:val="00EA74BA"/>
    <w:rsid w:val="00EB127A"/>
    <w:rsid w:val="00EB5439"/>
    <w:rsid w:val="00EB58B7"/>
    <w:rsid w:val="00EB7C5A"/>
    <w:rsid w:val="00EB7F7E"/>
    <w:rsid w:val="00EC29D5"/>
    <w:rsid w:val="00EC3031"/>
    <w:rsid w:val="00EC5C63"/>
    <w:rsid w:val="00ED2684"/>
    <w:rsid w:val="00ED3DBB"/>
    <w:rsid w:val="00EE2351"/>
    <w:rsid w:val="00EE238F"/>
    <w:rsid w:val="00EE5689"/>
    <w:rsid w:val="00EE61D4"/>
    <w:rsid w:val="00EF1ABA"/>
    <w:rsid w:val="00EF2FBE"/>
    <w:rsid w:val="00EF3557"/>
    <w:rsid w:val="00EF3770"/>
    <w:rsid w:val="00F01515"/>
    <w:rsid w:val="00F02E12"/>
    <w:rsid w:val="00F0553E"/>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37403"/>
    <w:rsid w:val="00F41237"/>
    <w:rsid w:val="00F416EF"/>
    <w:rsid w:val="00F43F84"/>
    <w:rsid w:val="00F44700"/>
    <w:rsid w:val="00F46FA6"/>
    <w:rsid w:val="00F51D06"/>
    <w:rsid w:val="00F531EB"/>
    <w:rsid w:val="00F5509A"/>
    <w:rsid w:val="00F57C8E"/>
    <w:rsid w:val="00F608EE"/>
    <w:rsid w:val="00F60D7F"/>
    <w:rsid w:val="00F62277"/>
    <w:rsid w:val="00F63CF2"/>
    <w:rsid w:val="00F65623"/>
    <w:rsid w:val="00F6738A"/>
    <w:rsid w:val="00F71A64"/>
    <w:rsid w:val="00F74471"/>
    <w:rsid w:val="00F74F8E"/>
    <w:rsid w:val="00F77EAC"/>
    <w:rsid w:val="00F828EF"/>
    <w:rsid w:val="00F82FAF"/>
    <w:rsid w:val="00F8326B"/>
    <w:rsid w:val="00F93471"/>
    <w:rsid w:val="00F938BA"/>
    <w:rsid w:val="00F9416E"/>
    <w:rsid w:val="00F943B5"/>
    <w:rsid w:val="00F960EC"/>
    <w:rsid w:val="00F96121"/>
    <w:rsid w:val="00FA15EC"/>
    <w:rsid w:val="00FA199F"/>
    <w:rsid w:val="00FA21AD"/>
    <w:rsid w:val="00FA3B3E"/>
    <w:rsid w:val="00FA5693"/>
    <w:rsid w:val="00FA6E40"/>
    <w:rsid w:val="00FB05AE"/>
    <w:rsid w:val="00FB06E0"/>
    <w:rsid w:val="00FB5548"/>
    <w:rsid w:val="00FB5623"/>
    <w:rsid w:val="00FB6A74"/>
    <w:rsid w:val="00FC2B42"/>
    <w:rsid w:val="00FC30A9"/>
    <w:rsid w:val="00FD1922"/>
    <w:rsid w:val="00FD7EA1"/>
    <w:rsid w:val="00FE1229"/>
    <w:rsid w:val="00FE599C"/>
    <w:rsid w:val="00FE76DE"/>
    <w:rsid w:val="00FF3FDB"/>
    <w:rsid w:val="00FF5E03"/>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B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4E3E-FB43-401C-9CA1-65EF011F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周玲</cp:lastModifiedBy>
  <cp:revision>8</cp:revision>
  <cp:lastPrinted>2021-07-21T07:12:00Z</cp:lastPrinted>
  <dcterms:created xsi:type="dcterms:W3CDTF">2025-01-07T01:04:00Z</dcterms:created>
  <dcterms:modified xsi:type="dcterms:W3CDTF">2025-01-08T06:59:00Z</dcterms:modified>
</cp:coreProperties>
</file>