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E308" w14:textId="7F2B6BD7" w:rsidR="00365AAE" w:rsidRPr="00E876F9" w:rsidRDefault="00365AAE" w:rsidP="00365AAE">
      <w:pPr>
        <w:autoSpaceDE w:val="0"/>
        <w:autoSpaceDN w:val="0"/>
        <w:adjustRightInd w:val="0"/>
        <w:jc w:val="left"/>
        <w:rPr>
          <w:rFonts w:asciiTheme="minorEastAsia" w:eastAsiaTheme="minorEastAsia" w:hAnsiTheme="minorEastAsia" w:cs="宋体"/>
          <w:b/>
          <w:kern w:val="0"/>
        </w:rPr>
      </w:pPr>
      <w:r w:rsidRPr="00E876F9">
        <w:rPr>
          <w:rFonts w:asciiTheme="minorEastAsia" w:eastAsiaTheme="minorEastAsia" w:hAnsiTheme="minorEastAsia" w:cs="宋体" w:hint="eastAsia"/>
          <w:b/>
          <w:kern w:val="0"/>
        </w:rPr>
        <w:t>证券代码：</w:t>
      </w:r>
      <w:r w:rsidRPr="00E876F9">
        <w:rPr>
          <w:rFonts w:asciiTheme="minorEastAsia" w:eastAsiaTheme="minorEastAsia" w:hAnsiTheme="minorEastAsia" w:cs="宋体"/>
          <w:b/>
          <w:kern w:val="0"/>
        </w:rPr>
        <w:t xml:space="preserve">002309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DD443D">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证券简称：</w:t>
      </w:r>
      <w:r w:rsidR="00B1360E">
        <w:rPr>
          <w:rFonts w:asciiTheme="minorEastAsia" w:eastAsiaTheme="minorEastAsia" w:hAnsiTheme="minorEastAsia" w:cs="宋体" w:hint="eastAsia"/>
          <w:b/>
          <w:kern w:val="0"/>
        </w:rPr>
        <w:t>*</w:t>
      </w:r>
      <w:r w:rsidR="00DD443D" w:rsidRPr="00DD443D">
        <w:rPr>
          <w:rFonts w:asciiTheme="minorEastAsia" w:eastAsiaTheme="minorEastAsia" w:hAnsiTheme="minorEastAsia" w:cs="宋体" w:hint="eastAsia"/>
          <w:b/>
          <w:kern w:val="0"/>
        </w:rPr>
        <w:t>ST中利</w:t>
      </w:r>
      <w:r w:rsidRP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00DD443D">
        <w:rPr>
          <w:rFonts w:asciiTheme="minorEastAsia" w:eastAsiaTheme="minorEastAsia" w:hAnsiTheme="minorEastAsia" w:cs="宋体"/>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公告编号：</w:t>
      </w:r>
      <w:r w:rsidR="00014B83" w:rsidRPr="00E876F9">
        <w:rPr>
          <w:rFonts w:asciiTheme="minorEastAsia" w:eastAsiaTheme="minorEastAsia" w:hAnsiTheme="minorEastAsia" w:cs="宋体" w:hint="eastAsia"/>
          <w:b/>
          <w:kern w:val="0"/>
        </w:rPr>
        <w:t>202</w:t>
      </w:r>
      <w:r w:rsidR="00632E19">
        <w:rPr>
          <w:rFonts w:asciiTheme="minorEastAsia" w:eastAsiaTheme="minorEastAsia" w:hAnsiTheme="minorEastAsia" w:cs="宋体"/>
          <w:b/>
          <w:kern w:val="0"/>
        </w:rPr>
        <w:t>5</w:t>
      </w:r>
      <w:r w:rsidR="00014B83" w:rsidRPr="00E876F9">
        <w:rPr>
          <w:rFonts w:asciiTheme="minorEastAsia" w:eastAsiaTheme="minorEastAsia" w:hAnsiTheme="minorEastAsia" w:cs="宋体" w:hint="eastAsia"/>
          <w:b/>
          <w:kern w:val="0"/>
        </w:rPr>
        <w:t>-</w:t>
      </w:r>
      <w:r w:rsidR="0084290B">
        <w:rPr>
          <w:rFonts w:asciiTheme="minorEastAsia" w:eastAsiaTheme="minorEastAsia" w:hAnsiTheme="minorEastAsia" w:cs="宋体"/>
          <w:b/>
          <w:kern w:val="0"/>
        </w:rPr>
        <w:t>0</w:t>
      </w:r>
      <w:r w:rsidR="000947ED">
        <w:rPr>
          <w:rFonts w:asciiTheme="minorEastAsia" w:eastAsiaTheme="minorEastAsia" w:hAnsiTheme="minorEastAsia" w:cs="宋体"/>
          <w:b/>
          <w:kern w:val="0"/>
        </w:rPr>
        <w:t>0</w:t>
      </w:r>
      <w:r w:rsidR="00E80C6D">
        <w:rPr>
          <w:rFonts w:asciiTheme="minorEastAsia" w:eastAsiaTheme="minorEastAsia" w:hAnsiTheme="minorEastAsia" w:cs="宋体"/>
          <w:b/>
          <w:kern w:val="0"/>
        </w:rPr>
        <w:t>2</w:t>
      </w:r>
    </w:p>
    <w:p w14:paraId="346E676D" w14:textId="77777777" w:rsidR="00097E5B" w:rsidRDefault="00097E5B" w:rsidP="00365AAE">
      <w:pPr>
        <w:jc w:val="center"/>
        <w:outlineLvl w:val="0"/>
        <w:rPr>
          <w:rFonts w:asciiTheme="minorEastAsia" w:eastAsiaTheme="minorEastAsia" w:hAnsiTheme="minorEastAsia" w:cs="宋体"/>
          <w:b/>
          <w:kern w:val="0"/>
          <w:sz w:val="24"/>
        </w:rPr>
      </w:pPr>
    </w:p>
    <w:p w14:paraId="5ECD6DF8" w14:textId="77777777" w:rsidR="005A2FEE" w:rsidRDefault="00365AAE" w:rsidP="0054568F">
      <w:pPr>
        <w:spacing w:beforeLines="50" w:before="156" w:afterLines="50" w:after="156"/>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14:paraId="05209F54" w14:textId="77777777" w:rsidR="005E22BB" w:rsidRDefault="005A2FEE" w:rsidP="00DA4AEA">
      <w:pPr>
        <w:spacing w:beforeLines="50" w:before="156" w:afterLines="50" w:after="156"/>
        <w:jc w:val="center"/>
        <w:outlineLvl w:val="0"/>
        <w:rPr>
          <w:rFonts w:asciiTheme="minorEastAsia" w:eastAsiaTheme="minorEastAsia" w:hAnsiTheme="minorEastAsia"/>
          <w:b/>
          <w:sz w:val="32"/>
          <w:szCs w:val="32"/>
        </w:rPr>
      </w:pPr>
      <w:r w:rsidRPr="005A2FEE">
        <w:rPr>
          <w:rFonts w:asciiTheme="minorEastAsia" w:eastAsiaTheme="minorEastAsia" w:hAnsiTheme="minorEastAsia" w:hint="eastAsia"/>
          <w:b/>
          <w:sz w:val="32"/>
          <w:szCs w:val="32"/>
        </w:rPr>
        <w:t>关于</w:t>
      </w:r>
      <w:r w:rsidR="00500E6C">
        <w:rPr>
          <w:rFonts w:asciiTheme="minorEastAsia" w:eastAsiaTheme="minorEastAsia" w:hAnsiTheme="minorEastAsia" w:hint="eastAsia"/>
          <w:b/>
          <w:sz w:val="32"/>
          <w:szCs w:val="32"/>
        </w:rPr>
        <w:t>申请</w:t>
      </w:r>
      <w:r w:rsidR="00DA4AEA">
        <w:rPr>
          <w:rFonts w:asciiTheme="minorEastAsia" w:eastAsiaTheme="minorEastAsia" w:hAnsiTheme="minorEastAsia" w:hint="eastAsia"/>
          <w:b/>
          <w:sz w:val="32"/>
          <w:szCs w:val="32"/>
        </w:rPr>
        <w:t>撤销部分退</w:t>
      </w:r>
      <w:proofErr w:type="gramStart"/>
      <w:r w:rsidR="00DA4AEA">
        <w:rPr>
          <w:rFonts w:asciiTheme="minorEastAsia" w:eastAsiaTheme="minorEastAsia" w:hAnsiTheme="minorEastAsia" w:hint="eastAsia"/>
          <w:b/>
          <w:sz w:val="32"/>
          <w:szCs w:val="32"/>
        </w:rPr>
        <w:t>市风险</w:t>
      </w:r>
      <w:proofErr w:type="gramEnd"/>
      <w:r w:rsidR="00DA4AEA">
        <w:rPr>
          <w:rFonts w:asciiTheme="minorEastAsia" w:eastAsiaTheme="minorEastAsia" w:hAnsiTheme="minorEastAsia" w:hint="eastAsia"/>
          <w:b/>
          <w:sz w:val="32"/>
          <w:szCs w:val="32"/>
        </w:rPr>
        <w:t>警示及部分其他风险警示</w:t>
      </w:r>
    </w:p>
    <w:p w14:paraId="41E5B10B" w14:textId="4F8D136F" w:rsidR="0062413F" w:rsidRPr="00F62277" w:rsidRDefault="00442C16" w:rsidP="00DA4AEA">
      <w:pPr>
        <w:spacing w:beforeLines="50" w:before="156" w:afterLines="50" w:after="156"/>
        <w:jc w:val="center"/>
        <w:outlineLvl w:val="0"/>
        <w:rPr>
          <w:rFonts w:asciiTheme="minorEastAsia" w:eastAsiaTheme="minorEastAsia" w:hAnsiTheme="minorEastAsia"/>
          <w:b/>
          <w:sz w:val="32"/>
          <w:szCs w:val="32"/>
        </w:rPr>
      </w:pPr>
      <w:proofErr w:type="gramStart"/>
      <w:r>
        <w:rPr>
          <w:rFonts w:asciiTheme="minorEastAsia" w:eastAsiaTheme="minorEastAsia" w:hAnsiTheme="minorEastAsia" w:hint="eastAsia"/>
          <w:b/>
          <w:sz w:val="32"/>
          <w:szCs w:val="32"/>
        </w:rPr>
        <w:t>暨继续</w:t>
      </w:r>
      <w:proofErr w:type="gramEnd"/>
      <w:r>
        <w:rPr>
          <w:rFonts w:asciiTheme="minorEastAsia" w:eastAsiaTheme="minorEastAsia" w:hAnsiTheme="minorEastAsia" w:hint="eastAsia"/>
          <w:b/>
          <w:sz w:val="32"/>
          <w:szCs w:val="32"/>
        </w:rPr>
        <w:t>被实施</w:t>
      </w:r>
      <w:r w:rsidR="005A2FEE" w:rsidRPr="005A2FEE">
        <w:rPr>
          <w:rFonts w:asciiTheme="minorEastAsia" w:eastAsiaTheme="minorEastAsia" w:hAnsiTheme="minorEastAsia" w:hint="eastAsia"/>
          <w:b/>
          <w:sz w:val="32"/>
          <w:szCs w:val="32"/>
        </w:rPr>
        <w:t>退</w:t>
      </w:r>
      <w:proofErr w:type="gramStart"/>
      <w:r w:rsidR="005A2FEE" w:rsidRPr="005A2FEE">
        <w:rPr>
          <w:rFonts w:asciiTheme="minorEastAsia" w:eastAsiaTheme="minorEastAsia" w:hAnsiTheme="minorEastAsia" w:hint="eastAsia"/>
          <w:b/>
          <w:sz w:val="32"/>
          <w:szCs w:val="32"/>
        </w:rPr>
        <w:t>市风险</w:t>
      </w:r>
      <w:proofErr w:type="gramEnd"/>
      <w:r w:rsidR="005A2FEE" w:rsidRPr="005A2FEE">
        <w:rPr>
          <w:rFonts w:asciiTheme="minorEastAsia" w:eastAsiaTheme="minorEastAsia" w:hAnsiTheme="minorEastAsia" w:hint="eastAsia"/>
          <w:b/>
          <w:sz w:val="32"/>
          <w:szCs w:val="32"/>
        </w:rPr>
        <w:t>警示及其他风险警示的公告</w:t>
      </w:r>
    </w:p>
    <w:tbl>
      <w:tblPr>
        <w:tblStyle w:val="11"/>
        <w:tblW w:w="8582" w:type="dxa"/>
        <w:tblLayout w:type="fixed"/>
        <w:tblLook w:val="04A0" w:firstRow="1" w:lastRow="0" w:firstColumn="1" w:lastColumn="0" w:noHBand="0" w:noVBand="1"/>
      </w:tblPr>
      <w:tblGrid>
        <w:gridCol w:w="8582"/>
      </w:tblGrid>
      <w:tr w:rsidR="00722D1B" w:rsidRPr="00E627AD" w14:paraId="672DEF6D" w14:textId="77777777" w:rsidTr="000E7FE0">
        <w:trPr>
          <w:trHeight w:val="1009"/>
        </w:trPr>
        <w:tc>
          <w:tcPr>
            <w:tcW w:w="8582" w:type="dxa"/>
          </w:tcPr>
          <w:p w14:paraId="764F9C59" w14:textId="77777777" w:rsidR="00722D1B" w:rsidRPr="00E627AD" w:rsidRDefault="00722D1B" w:rsidP="00722D1B">
            <w:pPr>
              <w:spacing w:line="360" w:lineRule="auto"/>
              <w:ind w:firstLineChars="200" w:firstLine="482"/>
              <w:rPr>
                <w:rFonts w:ascii="宋体" w:hAnsi="宋体"/>
                <w:b/>
                <w:sz w:val="24"/>
                <w:szCs w:val="28"/>
              </w:rPr>
            </w:pPr>
            <w:r w:rsidRPr="00E627AD">
              <w:rPr>
                <w:rFonts w:ascii="宋体" w:hAnsi="宋体" w:hint="eastAsia"/>
                <w:b/>
                <w:sz w:val="24"/>
                <w:szCs w:val="28"/>
              </w:rPr>
              <w:t>本公司及董事会全体成员保证信息披露的内容真实、准确、完整，没有虚假记载、误导性陈述或重大遗漏。</w:t>
            </w:r>
          </w:p>
        </w:tc>
      </w:tr>
    </w:tbl>
    <w:p w14:paraId="766B88EC" w14:textId="77815A94" w:rsidR="00FB05AE" w:rsidRDefault="00FB05AE" w:rsidP="00691D19">
      <w:pPr>
        <w:spacing w:beforeLines="100" w:before="312" w:line="360" w:lineRule="auto"/>
        <w:ind w:firstLineChars="200" w:firstLine="482"/>
        <w:rPr>
          <w:rFonts w:asciiTheme="minorEastAsia" w:eastAsiaTheme="minorEastAsia" w:hAnsiTheme="minorEastAsia"/>
          <w:b/>
          <w:bCs/>
          <w:sz w:val="24"/>
          <w:szCs w:val="28"/>
        </w:rPr>
      </w:pPr>
      <w:r w:rsidRPr="00FB05AE">
        <w:rPr>
          <w:rFonts w:asciiTheme="minorEastAsia" w:eastAsiaTheme="minorEastAsia" w:hAnsiTheme="minorEastAsia" w:hint="eastAsia"/>
          <w:b/>
          <w:bCs/>
          <w:sz w:val="24"/>
          <w:szCs w:val="28"/>
        </w:rPr>
        <w:t>特别提示：</w:t>
      </w:r>
    </w:p>
    <w:p w14:paraId="1DCAEABF" w14:textId="2DEBBD91" w:rsidR="002341F8" w:rsidRDefault="005A2FEE" w:rsidP="00A10877">
      <w:pPr>
        <w:spacing w:line="360" w:lineRule="auto"/>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1、</w:t>
      </w:r>
      <w:r w:rsidR="00A10877" w:rsidRPr="00A10877">
        <w:rPr>
          <w:rFonts w:asciiTheme="minorEastAsia" w:eastAsiaTheme="minorEastAsia" w:hAnsiTheme="minorEastAsia" w:hint="eastAsia"/>
          <w:sz w:val="24"/>
          <w:szCs w:val="28"/>
        </w:rPr>
        <w:t>江苏中利集团股份有限公司（以下简称“公司”</w:t>
      </w:r>
      <w:r w:rsidR="001F2DA6">
        <w:rPr>
          <w:rFonts w:asciiTheme="minorEastAsia" w:eastAsiaTheme="minorEastAsia" w:hAnsiTheme="minorEastAsia" w:hint="eastAsia"/>
          <w:sz w:val="24"/>
          <w:szCs w:val="28"/>
        </w:rPr>
        <w:t>）收到苏州市中级人民法院（以下简称“苏州中院”</w:t>
      </w:r>
      <w:r w:rsidR="00A10877" w:rsidRPr="00A10877">
        <w:rPr>
          <w:rFonts w:asciiTheme="minorEastAsia" w:eastAsiaTheme="minorEastAsia" w:hAnsiTheme="minorEastAsia" w:hint="eastAsia"/>
          <w:sz w:val="24"/>
          <w:szCs w:val="28"/>
        </w:rPr>
        <w:t>）送达的（2024）苏</w:t>
      </w:r>
      <w:r w:rsidR="00A10877">
        <w:rPr>
          <w:rFonts w:asciiTheme="minorEastAsia" w:eastAsiaTheme="minorEastAsia" w:hAnsiTheme="minorEastAsia" w:hint="eastAsia"/>
          <w:sz w:val="24"/>
          <w:szCs w:val="28"/>
        </w:rPr>
        <w:t>05</w:t>
      </w:r>
      <w:r w:rsidR="00A10877" w:rsidRPr="00A10877">
        <w:rPr>
          <w:rFonts w:asciiTheme="minorEastAsia" w:eastAsiaTheme="minorEastAsia" w:hAnsiTheme="minorEastAsia" w:hint="eastAsia"/>
          <w:sz w:val="24"/>
          <w:szCs w:val="28"/>
        </w:rPr>
        <w:t>破</w:t>
      </w:r>
      <w:r w:rsidR="00A10877">
        <w:rPr>
          <w:rFonts w:asciiTheme="minorEastAsia" w:eastAsiaTheme="minorEastAsia" w:hAnsiTheme="minorEastAsia" w:hint="eastAsia"/>
          <w:sz w:val="24"/>
          <w:szCs w:val="28"/>
        </w:rPr>
        <w:t>50</w:t>
      </w:r>
      <w:r w:rsidR="00A10877" w:rsidRPr="00A10877">
        <w:rPr>
          <w:rFonts w:asciiTheme="minorEastAsia" w:eastAsiaTheme="minorEastAsia" w:hAnsiTheme="minorEastAsia" w:hint="eastAsia"/>
          <w:sz w:val="24"/>
          <w:szCs w:val="28"/>
        </w:rPr>
        <w:t>号之四《民事裁定书》，裁定确认公司重整计划执行完毕</w:t>
      </w:r>
      <w:r w:rsidR="005E22BB">
        <w:rPr>
          <w:rFonts w:asciiTheme="minorEastAsia" w:eastAsiaTheme="minorEastAsia" w:hAnsiTheme="minorEastAsia" w:hint="eastAsia"/>
          <w:sz w:val="24"/>
          <w:szCs w:val="28"/>
        </w:rPr>
        <w:t>并</w:t>
      </w:r>
      <w:r w:rsidR="00A10877" w:rsidRPr="00A10877">
        <w:rPr>
          <w:rFonts w:asciiTheme="minorEastAsia" w:eastAsiaTheme="minorEastAsia" w:hAnsiTheme="minorEastAsia" w:hint="eastAsia"/>
          <w:sz w:val="24"/>
          <w:szCs w:val="28"/>
        </w:rPr>
        <w:t>终结公司重整程序</w:t>
      </w:r>
      <w:r w:rsidR="00A10877">
        <w:rPr>
          <w:rFonts w:asciiTheme="minorEastAsia" w:eastAsiaTheme="minorEastAsia" w:hAnsiTheme="minorEastAsia" w:hint="eastAsia"/>
          <w:sz w:val="24"/>
          <w:szCs w:val="28"/>
        </w:rPr>
        <w:t>，</w:t>
      </w:r>
      <w:r w:rsidR="0037486A">
        <w:rPr>
          <w:rFonts w:asciiTheme="minorEastAsia" w:eastAsiaTheme="minorEastAsia" w:hAnsiTheme="minorEastAsia" w:hint="eastAsia"/>
          <w:sz w:val="24"/>
          <w:szCs w:val="28"/>
        </w:rPr>
        <w:t>公司因被</w:t>
      </w:r>
      <w:r w:rsidR="001F2DA6">
        <w:rPr>
          <w:rFonts w:asciiTheme="minorEastAsia" w:eastAsiaTheme="minorEastAsia" w:hAnsiTheme="minorEastAsia" w:hint="eastAsia"/>
          <w:sz w:val="24"/>
          <w:szCs w:val="28"/>
        </w:rPr>
        <w:t>苏州中院</w:t>
      </w:r>
      <w:r w:rsidR="0037486A">
        <w:rPr>
          <w:rFonts w:asciiTheme="minorEastAsia" w:eastAsiaTheme="minorEastAsia" w:hAnsiTheme="minorEastAsia" w:hint="eastAsia"/>
          <w:sz w:val="24"/>
          <w:szCs w:val="28"/>
        </w:rPr>
        <w:t>裁定受理重整</w:t>
      </w:r>
      <w:r w:rsidR="0077387C">
        <w:rPr>
          <w:rFonts w:asciiTheme="minorEastAsia" w:eastAsiaTheme="minorEastAsia" w:hAnsiTheme="minorEastAsia" w:hint="eastAsia"/>
          <w:sz w:val="24"/>
          <w:szCs w:val="28"/>
        </w:rPr>
        <w:t>而触及</w:t>
      </w:r>
      <w:r w:rsidR="0037486A">
        <w:rPr>
          <w:rFonts w:asciiTheme="minorEastAsia" w:eastAsiaTheme="minorEastAsia" w:hAnsiTheme="minorEastAsia" w:hint="eastAsia"/>
          <w:sz w:val="24"/>
          <w:szCs w:val="28"/>
        </w:rPr>
        <w:t>的退</w:t>
      </w:r>
      <w:proofErr w:type="gramStart"/>
      <w:r w:rsidR="0037486A">
        <w:rPr>
          <w:rFonts w:asciiTheme="minorEastAsia" w:eastAsiaTheme="minorEastAsia" w:hAnsiTheme="minorEastAsia" w:hint="eastAsia"/>
          <w:sz w:val="24"/>
          <w:szCs w:val="28"/>
        </w:rPr>
        <w:t>市风险</w:t>
      </w:r>
      <w:proofErr w:type="gramEnd"/>
      <w:r w:rsidR="0037486A">
        <w:rPr>
          <w:rFonts w:asciiTheme="minorEastAsia" w:eastAsiaTheme="minorEastAsia" w:hAnsiTheme="minorEastAsia" w:hint="eastAsia"/>
          <w:sz w:val="24"/>
          <w:szCs w:val="28"/>
        </w:rPr>
        <w:t>警示情形已经消除。</w:t>
      </w:r>
    </w:p>
    <w:p w14:paraId="7C45B515" w14:textId="2D3A1E69" w:rsidR="00BB169F" w:rsidRDefault="0037486A" w:rsidP="002341F8">
      <w:pPr>
        <w:spacing w:line="360" w:lineRule="auto"/>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2、</w:t>
      </w:r>
      <w:r w:rsidR="00BB169F">
        <w:rPr>
          <w:rFonts w:asciiTheme="minorEastAsia" w:eastAsiaTheme="minorEastAsia" w:hAnsiTheme="minorEastAsia" w:hint="eastAsia"/>
          <w:sz w:val="24"/>
          <w:szCs w:val="28"/>
        </w:rPr>
        <w:t>容诚会计师事务所（特殊普通合伙）（以下简称“容诚所”）</w:t>
      </w:r>
      <w:r w:rsidR="00BB169F" w:rsidRPr="00EA74BA">
        <w:rPr>
          <w:rFonts w:asciiTheme="minorEastAsia" w:eastAsiaTheme="minorEastAsia" w:hAnsiTheme="minorEastAsia" w:hint="eastAsia"/>
          <w:sz w:val="24"/>
          <w:szCs w:val="28"/>
        </w:rPr>
        <w:t>出具</w:t>
      </w:r>
      <w:r w:rsidR="00AC5BB8" w:rsidRPr="0022047F">
        <w:rPr>
          <w:rFonts w:asciiTheme="minorEastAsia" w:eastAsiaTheme="minorEastAsia" w:hAnsiTheme="minorEastAsia" w:hint="eastAsia"/>
          <w:sz w:val="24"/>
          <w:szCs w:val="28"/>
        </w:rPr>
        <w:t>《关于江苏中利集团股份有限公司大股东及其附属企业非经营性资金占用清偿情况的专项说明》（</w:t>
      </w:r>
      <w:proofErr w:type="gramStart"/>
      <w:r w:rsidR="00AC5BB8" w:rsidRPr="0022047F">
        <w:rPr>
          <w:rFonts w:asciiTheme="minorEastAsia" w:eastAsiaTheme="minorEastAsia" w:hAnsiTheme="minorEastAsia" w:hint="eastAsia"/>
          <w:sz w:val="24"/>
          <w:szCs w:val="28"/>
        </w:rPr>
        <w:t>容诚专字</w:t>
      </w:r>
      <w:proofErr w:type="gramEnd"/>
      <w:r w:rsidR="00AC5BB8" w:rsidRPr="0022047F">
        <w:rPr>
          <w:rFonts w:asciiTheme="minorEastAsia" w:eastAsiaTheme="minorEastAsia" w:hAnsiTheme="minorEastAsia" w:hint="eastAsia"/>
          <w:sz w:val="24"/>
          <w:szCs w:val="28"/>
        </w:rPr>
        <w:t>[2025]361Z0006号）</w:t>
      </w:r>
      <w:r w:rsidR="00BB169F" w:rsidRPr="00EA74BA">
        <w:rPr>
          <w:rFonts w:asciiTheme="minorEastAsia" w:eastAsiaTheme="minorEastAsia" w:hAnsiTheme="minorEastAsia" w:hint="eastAsia"/>
          <w:sz w:val="24"/>
          <w:szCs w:val="28"/>
        </w:rPr>
        <w:t>，确认公司已按照江苏证监局出具《行政监管措施决定书》（[2024]88号）的要求完成了非经营性资金占用问题的整改，</w:t>
      </w:r>
      <w:r w:rsidR="00ED3DBB">
        <w:rPr>
          <w:rFonts w:asciiTheme="minorEastAsia" w:eastAsiaTheme="minorEastAsia" w:hAnsiTheme="minorEastAsia" w:hint="eastAsia"/>
          <w:sz w:val="24"/>
          <w:szCs w:val="28"/>
        </w:rPr>
        <w:t>公司因</w:t>
      </w:r>
      <w:r w:rsidR="00ED3DBB" w:rsidRPr="00ED3DBB">
        <w:rPr>
          <w:rFonts w:asciiTheme="minorEastAsia" w:eastAsiaTheme="minorEastAsia" w:hAnsiTheme="minorEastAsia" w:hint="eastAsia"/>
          <w:sz w:val="24"/>
          <w:szCs w:val="28"/>
        </w:rPr>
        <w:t>被王柏兴及其关联方非经营性占用</w:t>
      </w:r>
      <w:r w:rsidR="00ED3DBB">
        <w:rPr>
          <w:rFonts w:asciiTheme="minorEastAsia" w:eastAsiaTheme="minorEastAsia" w:hAnsiTheme="minorEastAsia" w:hint="eastAsia"/>
          <w:sz w:val="24"/>
          <w:szCs w:val="28"/>
        </w:rPr>
        <w:t>而</w:t>
      </w:r>
      <w:r w:rsidR="00BB169F">
        <w:rPr>
          <w:rFonts w:asciiTheme="minorEastAsia" w:eastAsiaTheme="minorEastAsia" w:hAnsiTheme="minorEastAsia" w:hint="eastAsia"/>
          <w:sz w:val="24"/>
          <w:szCs w:val="28"/>
        </w:rPr>
        <w:t>触及的其他风险警示情形已经消除</w:t>
      </w:r>
      <w:r w:rsidR="00E451B4">
        <w:rPr>
          <w:rFonts w:asciiTheme="minorEastAsia" w:eastAsiaTheme="minorEastAsia" w:hAnsiTheme="minorEastAsia" w:hint="eastAsia"/>
          <w:sz w:val="24"/>
          <w:szCs w:val="28"/>
        </w:rPr>
        <w:t>。</w:t>
      </w:r>
    </w:p>
    <w:p w14:paraId="6FA235D1" w14:textId="076A9155" w:rsidR="0077387C" w:rsidRDefault="0077387C" w:rsidP="002341F8">
      <w:pPr>
        <w:spacing w:line="360" w:lineRule="auto"/>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3、根据《深圳证券交易所股票上市规则》（以下简称“</w:t>
      </w:r>
      <w:r w:rsidR="005135D4">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上市规则</w:t>
      </w:r>
      <w:r w:rsidR="005135D4">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w:t>
      </w:r>
      <w:bookmarkStart w:id="0" w:name="OLE_LINK1"/>
      <w:bookmarkStart w:id="1" w:name="OLE_LINK2"/>
      <w:r>
        <w:rPr>
          <w:rFonts w:asciiTheme="minorEastAsia" w:eastAsiaTheme="minorEastAsia" w:hAnsiTheme="minorEastAsia" w:hint="eastAsia"/>
          <w:sz w:val="24"/>
          <w:szCs w:val="28"/>
        </w:rPr>
        <w:t>第9</w:t>
      </w:r>
      <w:r>
        <w:rPr>
          <w:rFonts w:asciiTheme="minorEastAsia" w:eastAsiaTheme="minorEastAsia" w:hAnsiTheme="minorEastAsia"/>
          <w:sz w:val="24"/>
          <w:szCs w:val="28"/>
        </w:rPr>
        <w:t>.4.14</w:t>
      </w:r>
      <w:r>
        <w:rPr>
          <w:rFonts w:asciiTheme="minorEastAsia" w:eastAsiaTheme="minorEastAsia" w:hAnsiTheme="minorEastAsia" w:hint="eastAsia"/>
          <w:sz w:val="24"/>
          <w:szCs w:val="28"/>
        </w:rPr>
        <w:t>条和9</w:t>
      </w:r>
      <w:r>
        <w:rPr>
          <w:rFonts w:asciiTheme="minorEastAsia" w:eastAsiaTheme="minorEastAsia" w:hAnsiTheme="minorEastAsia"/>
          <w:sz w:val="24"/>
          <w:szCs w:val="28"/>
        </w:rPr>
        <w:t>.4.7</w:t>
      </w:r>
      <w:r>
        <w:rPr>
          <w:rFonts w:asciiTheme="minorEastAsia" w:eastAsiaTheme="minorEastAsia" w:hAnsiTheme="minorEastAsia" w:hint="eastAsia"/>
          <w:sz w:val="24"/>
          <w:szCs w:val="28"/>
        </w:rPr>
        <w:t>条的规定</w:t>
      </w:r>
      <w:bookmarkEnd w:id="0"/>
      <w:bookmarkEnd w:id="1"/>
      <w:r>
        <w:rPr>
          <w:rFonts w:asciiTheme="minorEastAsia" w:eastAsiaTheme="minorEastAsia" w:hAnsiTheme="minorEastAsia" w:hint="eastAsia"/>
          <w:sz w:val="24"/>
          <w:szCs w:val="28"/>
        </w:rPr>
        <w:t>，公司已向深圳证券交易所（以下简称“深交所”）申请撤销</w:t>
      </w:r>
      <w:r w:rsidR="00DC2410">
        <w:rPr>
          <w:rFonts w:asciiTheme="minorEastAsia" w:eastAsiaTheme="minorEastAsia" w:hAnsiTheme="minorEastAsia" w:hint="eastAsia"/>
          <w:sz w:val="24"/>
          <w:szCs w:val="28"/>
        </w:rPr>
        <w:t>相应</w:t>
      </w:r>
      <w:r w:rsidR="00665006">
        <w:rPr>
          <w:rFonts w:asciiTheme="minorEastAsia" w:eastAsiaTheme="minorEastAsia" w:hAnsiTheme="minorEastAsia" w:hint="eastAsia"/>
          <w:sz w:val="24"/>
          <w:szCs w:val="28"/>
        </w:rPr>
        <w:t>的</w:t>
      </w:r>
      <w:r w:rsidR="00ED3DBB">
        <w:rPr>
          <w:rFonts w:asciiTheme="minorEastAsia" w:eastAsiaTheme="minorEastAsia" w:hAnsiTheme="minorEastAsia" w:hint="eastAsia"/>
          <w:sz w:val="24"/>
          <w:szCs w:val="28"/>
        </w:rPr>
        <w:t>部分</w:t>
      </w:r>
      <w:r w:rsidR="00665006">
        <w:rPr>
          <w:rFonts w:asciiTheme="minorEastAsia" w:eastAsiaTheme="minorEastAsia" w:hAnsiTheme="minorEastAsia" w:hint="eastAsia"/>
          <w:sz w:val="24"/>
          <w:szCs w:val="28"/>
        </w:rPr>
        <w:t>退</w:t>
      </w:r>
      <w:proofErr w:type="gramStart"/>
      <w:r w:rsidR="00665006">
        <w:rPr>
          <w:rFonts w:asciiTheme="minorEastAsia" w:eastAsiaTheme="minorEastAsia" w:hAnsiTheme="minorEastAsia" w:hint="eastAsia"/>
          <w:sz w:val="24"/>
          <w:szCs w:val="28"/>
        </w:rPr>
        <w:t>市风险</w:t>
      </w:r>
      <w:proofErr w:type="gramEnd"/>
      <w:r w:rsidR="00665006">
        <w:rPr>
          <w:rFonts w:asciiTheme="minorEastAsia" w:eastAsiaTheme="minorEastAsia" w:hAnsiTheme="minorEastAsia" w:hint="eastAsia"/>
          <w:sz w:val="24"/>
          <w:szCs w:val="28"/>
        </w:rPr>
        <w:t>警示及</w:t>
      </w:r>
      <w:r w:rsidR="00ED3DBB">
        <w:rPr>
          <w:rFonts w:asciiTheme="minorEastAsia" w:eastAsiaTheme="minorEastAsia" w:hAnsiTheme="minorEastAsia" w:hint="eastAsia"/>
          <w:sz w:val="24"/>
          <w:szCs w:val="28"/>
        </w:rPr>
        <w:t>部分</w:t>
      </w:r>
      <w:r w:rsidR="00665006">
        <w:rPr>
          <w:rFonts w:asciiTheme="minorEastAsia" w:eastAsiaTheme="minorEastAsia" w:hAnsiTheme="minorEastAsia" w:hint="eastAsia"/>
          <w:sz w:val="24"/>
          <w:szCs w:val="28"/>
        </w:rPr>
        <w:t>其他风险警示</w:t>
      </w:r>
      <w:r>
        <w:rPr>
          <w:rFonts w:asciiTheme="minorEastAsia" w:eastAsiaTheme="minorEastAsia" w:hAnsiTheme="minorEastAsia" w:hint="eastAsia"/>
          <w:sz w:val="24"/>
          <w:szCs w:val="28"/>
        </w:rPr>
        <w:t>。</w:t>
      </w:r>
      <w:r w:rsidR="00DC2410">
        <w:rPr>
          <w:rFonts w:asciiTheme="minorEastAsia" w:eastAsiaTheme="minorEastAsia" w:hAnsiTheme="minorEastAsia" w:hint="eastAsia"/>
          <w:sz w:val="24"/>
          <w:szCs w:val="28"/>
        </w:rPr>
        <w:t>该事项尚需</w:t>
      </w:r>
      <w:r>
        <w:rPr>
          <w:rFonts w:asciiTheme="minorEastAsia" w:eastAsiaTheme="minorEastAsia" w:hAnsiTheme="minorEastAsia" w:hint="eastAsia"/>
          <w:sz w:val="24"/>
          <w:szCs w:val="28"/>
        </w:rPr>
        <w:t>深交所审核</w:t>
      </w:r>
      <w:r w:rsidR="00BB169F">
        <w:rPr>
          <w:rFonts w:asciiTheme="minorEastAsia" w:eastAsiaTheme="minorEastAsia" w:hAnsiTheme="minorEastAsia" w:hint="eastAsia"/>
          <w:sz w:val="24"/>
          <w:szCs w:val="28"/>
        </w:rPr>
        <w:t>同意，最终申请撤销情况以深交所审核意见为准，</w:t>
      </w:r>
      <w:r w:rsidR="003D245A">
        <w:rPr>
          <w:rFonts w:asciiTheme="minorEastAsia" w:eastAsiaTheme="minorEastAsia" w:hAnsiTheme="minorEastAsia" w:hint="eastAsia"/>
          <w:sz w:val="24"/>
          <w:szCs w:val="28"/>
        </w:rPr>
        <w:t>公司将</w:t>
      </w:r>
      <w:r w:rsidR="00BB169F">
        <w:rPr>
          <w:rFonts w:asciiTheme="minorEastAsia" w:eastAsiaTheme="minorEastAsia" w:hAnsiTheme="minorEastAsia" w:hint="eastAsia"/>
          <w:sz w:val="24"/>
          <w:szCs w:val="28"/>
        </w:rPr>
        <w:t>根据进展情况</w:t>
      </w:r>
      <w:r w:rsidR="003D245A">
        <w:rPr>
          <w:rFonts w:asciiTheme="minorEastAsia" w:eastAsiaTheme="minorEastAsia" w:hAnsiTheme="minorEastAsia" w:hint="eastAsia"/>
          <w:sz w:val="24"/>
          <w:szCs w:val="28"/>
        </w:rPr>
        <w:t>及时履行信息披露义务</w:t>
      </w:r>
      <w:r>
        <w:rPr>
          <w:rFonts w:asciiTheme="minorEastAsia" w:eastAsiaTheme="minorEastAsia" w:hAnsiTheme="minorEastAsia" w:hint="eastAsia"/>
          <w:sz w:val="24"/>
          <w:szCs w:val="28"/>
        </w:rPr>
        <w:t>。</w:t>
      </w:r>
    </w:p>
    <w:p w14:paraId="6BBF51B1" w14:textId="15BB7C3A" w:rsidR="007C0958" w:rsidRDefault="0077387C" w:rsidP="007C0958">
      <w:pPr>
        <w:spacing w:line="360" w:lineRule="auto"/>
        <w:ind w:firstLineChars="200" w:firstLine="480"/>
        <w:rPr>
          <w:rFonts w:ascii="宋体" w:cs="宋体"/>
          <w:color w:val="000000"/>
          <w:kern w:val="0"/>
          <w:sz w:val="24"/>
        </w:rPr>
      </w:pPr>
      <w:r>
        <w:rPr>
          <w:rFonts w:asciiTheme="minorEastAsia" w:eastAsiaTheme="minorEastAsia" w:hAnsiTheme="minorEastAsia" w:hint="eastAsia"/>
          <w:sz w:val="24"/>
          <w:szCs w:val="28"/>
        </w:rPr>
        <w:t>4、</w:t>
      </w:r>
      <w:r w:rsidR="00F37403" w:rsidRPr="002D412E">
        <w:rPr>
          <w:rFonts w:ascii="宋体" w:hAnsi="宋体" w:cs="宋体" w:hint="eastAsia"/>
          <w:color w:val="000000"/>
          <w:kern w:val="0"/>
          <w:sz w:val="24"/>
        </w:rPr>
        <w:t>鉴于公司仍存在其他触及退</w:t>
      </w:r>
      <w:proofErr w:type="gramStart"/>
      <w:r w:rsidR="00F37403" w:rsidRPr="002D412E">
        <w:rPr>
          <w:rFonts w:ascii="宋体" w:hAnsi="宋体" w:cs="宋体" w:hint="eastAsia"/>
          <w:color w:val="000000"/>
          <w:kern w:val="0"/>
          <w:sz w:val="24"/>
        </w:rPr>
        <w:t>市风险</w:t>
      </w:r>
      <w:proofErr w:type="gramEnd"/>
      <w:r w:rsidR="00F37403" w:rsidRPr="002D412E">
        <w:rPr>
          <w:rFonts w:ascii="宋体" w:hAnsi="宋体" w:cs="宋体" w:hint="eastAsia"/>
          <w:color w:val="000000"/>
          <w:kern w:val="0"/>
          <w:sz w:val="24"/>
        </w:rPr>
        <w:t>警示和其他风险警示的情形，</w:t>
      </w:r>
      <w:r w:rsidR="00F37403" w:rsidRPr="006F4B4E">
        <w:rPr>
          <w:rFonts w:ascii="宋体" w:hAnsi="宋体" w:cs="宋体" w:hint="eastAsia"/>
          <w:color w:val="000000"/>
          <w:kern w:val="0"/>
          <w:sz w:val="24"/>
        </w:rPr>
        <w:t>如本次撤销</w:t>
      </w:r>
      <w:r w:rsidR="00F37403">
        <w:rPr>
          <w:rFonts w:ascii="宋体" w:hAnsi="宋体" w:cs="宋体" w:hint="eastAsia"/>
          <w:color w:val="000000"/>
          <w:kern w:val="0"/>
          <w:sz w:val="24"/>
        </w:rPr>
        <w:t>申请获得</w:t>
      </w:r>
      <w:r w:rsidR="005331ED">
        <w:rPr>
          <w:rFonts w:ascii="宋体" w:hAnsi="宋体" w:cs="宋体" w:hint="eastAsia"/>
          <w:color w:val="000000"/>
          <w:kern w:val="0"/>
          <w:sz w:val="24"/>
        </w:rPr>
        <w:t>深交所</w:t>
      </w:r>
      <w:r w:rsidR="00F37403" w:rsidRPr="006F4B4E">
        <w:rPr>
          <w:rFonts w:ascii="宋体" w:hAnsi="宋体" w:cs="宋体" w:hint="eastAsia"/>
          <w:color w:val="000000"/>
          <w:kern w:val="0"/>
          <w:sz w:val="24"/>
        </w:rPr>
        <w:t>批准</w:t>
      </w:r>
      <w:r w:rsidR="00F37403">
        <w:rPr>
          <w:rFonts w:ascii="宋体" w:hAnsi="宋体" w:cs="宋体" w:hint="eastAsia"/>
          <w:color w:val="000000"/>
          <w:kern w:val="0"/>
          <w:sz w:val="24"/>
        </w:rPr>
        <w:t>，</w:t>
      </w:r>
      <w:r w:rsidR="00F37403" w:rsidRPr="002D412E">
        <w:rPr>
          <w:rFonts w:ascii="宋体" w:hAnsi="宋体" w:cs="宋体" w:hint="eastAsia"/>
          <w:color w:val="000000"/>
          <w:kern w:val="0"/>
          <w:sz w:val="24"/>
        </w:rPr>
        <w:t>公司股票</w:t>
      </w:r>
      <w:r w:rsidR="00ED3DBB">
        <w:rPr>
          <w:rFonts w:ascii="宋体" w:hAnsi="宋体" w:cs="宋体" w:hint="eastAsia"/>
          <w:color w:val="000000"/>
          <w:kern w:val="0"/>
          <w:sz w:val="24"/>
        </w:rPr>
        <w:t>仍</w:t>
      </w:r>
      <w:r w:rsidR="00F37403" w:rsidRPr="002D412E">
        <w:rPr>
          <w:rFonts w:ascii="宋体" w:hAnsi="宋体" w:cs="宋体" w:hint="eastAsia"/>
          <w:color w:val="000000"/>
          <w:kern w:val="0"/>
          <w:sz w:val="24"/>
        </w:rPr>
        <w:t>将继续被实施退</w:t>
      </w:r>
      <w:proofErr w:type="gramStart"/>
      <w:r w:rsidR="00F37403" w:rsidRPr="002D412E">
        <w:rPr>
          <w:rFonts w:ascii="宋体" w:hAnsi="宋体" w:cs="宋体" w:hint="eastAsia"/>
          <w:color w:val="000000"/>
          <w:kern w:val="0"/>
          <w:sz w:val="24"/>
        </w:rPr>
        <w:t>市风险</w:t>
      </w:r>
      <w:proofErr w:type="gramEnd"/>
      <w:r w:rsidR="00F37403" w:rsidRPr="002D412E">
        <w:rPr>
          <w:rFonts w:ascii="宋体" w:hAnsi="宋体" w:cs="宋体" w:hint="eastAsia"/>
          <w:color w:val="000000"/>
          <w:kern w:val="0"/>
          <w:sz w:val="24"/>
        </w:rPr>
        <w:t>警示和其他风险警示</w:t>
      </w:r>
      <w:r w:rsidR="00F37403">
        <w:rPr>
          <w:rFonts w:ascii="宋体" w:hAnsi="宋体" w:cs="宋体" w:hint="eastAsia"/>
          <w:color w:val="000000"/>
          <w:kern w:val="0"/>
          <w:sz w:val="24"/>
        </w:rPr>
        <w:t>，</w:t>
      </w:r>
      <w:r w:rsidR="00B37708">
        <w:rPr>
          <w:rFonts w:asciiTheme="majorEastAsia" w:eastAsiaTheme="majorEastAsia" w:hAnsiTheme="majorEastAsia" w:hint="eastAsia"/>
          <w:sz w:val="24"/>
        </w:rPr>
        <w:t>公司股票简称不变，</w:t>
      </w:r>
      <w:r w:rsidR="007C0958" w:rsidRPr="00DE775F">
        <w:rPr>
          <w:rFonts w:ascii="宋体" w:cs="宋体" w:hint="eastAsia"/>
          <w:color w:val="000000"/>
          <w:kern w:val="0"/>
          <w:sz w:val="24"/>
        </w:rPr>
        <w:t>股票交易日涨跌幅限制</w:t>
      </w:r>
      <w:r w:rsidR="007C0958">
        <w:rPr>
          <w:rFonts w:ascii="宋体" w:cs="宋体" w:hint="eastAsia"/>
          <w:color w:val="000000"/>
          <w:kern w:val="0"/>
          <w:sz w:val="24"/>
        </w:rPr>
        <w:t>仍</w:t>
      </w:r>
      <w:r w:rsidR="007C0958" w:rsidRPr="00DE775F">
        <w:rPr>
          <w:rFonts w:ascii="宋体" w:cs="宋体" w:hint="eastAsia"/>
          <w:color w:val="000000"/>
          <w:kern w:val="0"/>
          <w:sz w:val="24"/>
        </w:rPr>
        <w:t>为5%</w:t>
      </w:r>
      <w:r w:rsidR="007C0958" w:rsidRPr="006F6409">
        <w:rPr>
          <w:rFonts w:ascii="宋体" w:cs="宋体" w:hint="eastAsia"/>
          <w:color w:val="000000"/>
          <w:kern w:val="0"/>
          <w:sz w:val="24"/>
        </w:rPr>
        <w:t>。</w:t>
      </w:r>
    </w:p>
    <w:p w14:paraId="426F31A4" w14:textId="032F1797" w:rsidR="00BB169F" w:rsidRDefault="00BB169F" w:rsidP="003D245A">
      <w:pPr>
        <w:spacing w:line="360" w:lineRule="auto"/>
        <w:ind w:firstLineChars="200" w:firstLine="482"/>
        <w:rPr>
          <w:rFonts w:ascii="宋体" w:cs="宋体"/>
          <w:b/>
          <w:color w:val="000000"/>
          <w:kern w:val="0"/>
          <w:sz w:val="24"/>
        </w:rPr>
      </w:pPr>
    </w:p>
    <w:p w14:paraId="40A89E06" w14:textId="77777777" w:rsidR="00A27186" w:rsidRDefault="00A27186" w:rsidP="003D245A">
      <w:pPr>
        <w:spacing w:line="360" w:lineRule="auto"/>
        <w:ind w:firstLineChars="200" w:firstLine="482"/>
        <w:rPr>
          <w:rFonts w:ascii="宋体" w:cs="宋体"/>
          <w:b/>
          <w:color w:val="000000"/>
          <w:kern w:val="0"/>
          <w:sz w:val="24"/>
        </w:rPr>
      </w:pPr>
    </w:p>
    <w:p w14:paraId="21F6AB66" w14:textId="77777777" w:rsidR="007C0958" w:rsidRPr="00FB2DE3" w:rsidRDefault="007C0958" w:rsidP="00BB169F">
      <w:pPr>
        <w:spacing w:beforeLines="50" w:before="156" w:afterLines="50" w:after="156" w:line="360" w:lineRule="auto"/>
        <w:ind w:firstLineChars="200" w:firstLine="482"/>
        <w:rPr>
          <w:b/>
        </w:rPr>
      </w:pPr>
      <w:r>
        <w:rPr>
          <w:rFonts w:ascii="宋体" w:cs="宋体" w:hint="eastAsia"/>
          <w:b/>
          <w:color w:val="000000"/>
          <w:kern w:val="0"/>
          <w:sz w:val="24"/>
        </w:rPr>
        <w:lastRenderedPageBreak/>
        <w:t>一、</w:t>
      </w:r>
      <w:r w:rsidR="003D245A">
        <w:rPr>
          <w:rFonts w:ascii="宋体" w:cs="宋体" w:hint="eastAsia"/>
          <w:b/>
          <w:color w:val="000000"/>
          <w:kern w:val="0"/>
          <w:sz w:val="24"/>
        </w:rPr>
        <w:t>公司股票交易被</w:t>
      </w:r>
      <w:r>
        <w:rPr>
          <w:rFonts w:ascii="宋体" w:cs="宋体" w:hint="eastAsia"/>
          <w:b/>
          <w:color w:val="000000"/>
          <w:kern w:val="0"/>
          <w:sz w:val="24"/>
        </w:rPr>
        <w:t>实施风险警示的</w:t>
      </w:r>
      <w:r w:rsidRPr="00FB2DE3">
        <w:rPr>
          <w:rFonts w:ascii="宋体" w:cs="宋体" w:hint="eastAsia"/>
          <w:b/>
          <w:color w:val="000000"/>
          <w:kern w:val="0"/>
          <w:sz w:val="24"/>
        </w:rPr>
        <w:t>情形</w:t>
      </w:r>
    </w:p>
    <w:p w14:paraId="4B520C28" w14:textId="77777777" w:rsidR="003D245A" w:rsidRPr="00BB169F" w:rsidRDefault="007C0958" w:rsidP="00BB169F">
      <w:pPr>
        <w:spacing w:beforeLines="50" w:before="156" w:afterLines="50" w:after="156"/>
        <w:ind w:firstLine="482"/>
        <w:rPr>
          <w:rStyle w:val="fontstyle01"/>
          <w:rFonts w:hint="default"/>
          <w:b/>
          <w:sz w:val="24"/>
        </w:rPr>
      </w:pPr>
      <w:r w:rsidRPr="00BB169F">
        <w:rPr>
          <w:rStyle w:val="fontstyle01"/>
          <w:rFonts w:hint="default"/>
          <w:b/>
          <w:sz w:val="24"/>
        </w:rPr>
        <w:t>（一）</w:t>
      </w:r>
      <w:r w:rsidR="003D245A" w:rsidRPr="00BB169F">
        <w:rPr>
          <w:rStyle w:val="fontstyle01"/>
          <w:rFonts w:hint="default"/>
          <w:b/>
          <w:sz w:val="24"/>
        </w:rPr>
        <w:t>实施退</w:t>
      </w:r>
      <w:proofErr w:type="gramStart"/>
      <w:r w:rsidR="003D245A" w:rsidRPr="00BB169F">
        <w:rPr>
          <w:rStyle w:val="fontstyle01"/>
          <w:rFonts w:hint="default"/>
          <w:b/>
          <w:sz w:val="24"/>
        </w:rPr>
        <w:t>市</w:t>
      </w:r>
      <w:r w:rsidR="003D245A" w:rsidRPr="00BB169F">
        <w:rPr>
          <w:rFonts w:ascii="宋体" w:cs="宋体" w:hint="eastAsia"/>
          <w:b/>
          <w:color w:val="000000"/>
          <w:kern w:val="0"/>
          <w:sz w:val="24"/>
        </w:rPr>
        <w:t>风险</w:t>
      </w:r>
      <w:proofErr w:type="gramEnd"/>
      <w:r w:rsidR="003D245A" w:rsidRPr="00BB169F">
        <w:rPr>
          <w:rFonts w:ascii="宋体" w:cs="宋体" w:hint="eastAsia"/>
          <w:b/>
          <w:color w:val="000000"/>
          <w:kern w:val="0"/>
          <w:sz w:val="24"/>
        </w:rPr>
        <w:t>警示的适用情形</w:t>
      </w:r>
    </w:p>
    <w:p w14:paraId="25A9393E" w14:textId="6FBB380C" w:rsidR="003D245A" w:rsidRDefault="003D245A" w:rsidP="003D245A">
      <w:pPr>
        <w:spacing w:line="360" w:lineRule="auto"/>
        <w:ind w:firstLine="480"/>
        <w:rPr>
          <w:rStyle w:val="fontstyle01"/>
          <w:rFonts w:hint="default"/>
          <w:sz w:val="24"/>
        </w:rPr>
      </w:pPr>
      <w:r>
        <w:rPr>
          <w:rStyle w:val="fontstyle01"/>
          <w:rFonts w:hint="default"/>
          <w:sz w:val="24"/>
        </w:rPr>
        <w:t>1、根据</w:t>
      </w:r>
      <w:r w:rsidR="00F51D06">
        <w:rPr>
          <w:rStyle w:val="fontstyle01"/>
          <w:rFonts w:hint="default"/>
          <w:sz w:val="24"/>
        </w:rPr>
        <w:t>苏亚金诚会计师事务所（特殊普通合伙）（以下简称“苏亚金诚”）</w:t>
      </w:r>
      <w:r>
        <w:rPr>
          <w:rStyle w:val="fontstyle01"/>
          <w:rFonts w:hint="default"/>
          <w:sz w:val="24"/>
        </w:rPr>
        <w:t>出具的2023</w:t>
      </w:r>
      <w:r w:rsidRPr="00F2769A">
        <w:rPr>
          <w:rStyle w:val="fontstyle01"/>
          <w:rFonts w:hint="default"/>
          <w:sz w:val="24"/>
        </w:rPr>
        <w:t>年度审计报告，</w:t>
      </w:r>
      <w:r>
        <w:rPr>
          <w:rStyle w:val="fontstyle01"/>
          <w:rFonts w:hint="default"/>
          <w:sz w:val="24"/>
        </w:rPr>
        <w:t>公司2023年度末合并口径经审计净资产为负值，触及</w:t>
      </w:r>
      <w:r w:rsidRPr="00F2769A">
        <w:rPr>
          <w:rStyle w:val="fontstyle01"/>
          <w:rFonts w:hint="default"/>
          <w:sz w:val="24"/>
        </w:rPr>
        <w:t>《</w:t>
      </w:r>
      <w:r w:rsidR="005135D4">
        <w:rPr>
          <w:rFonts w:asciiTheme="minorEastAsia" w:eastAsiaTheme="minorEastAsia" w:hAnsiTheme="minorEastAsia" w:hint="eastAsia"/>
          <w:sz w:val="24"/>
          <w:szCs w:val="28"/>
        </w:rPr>
        <w:t>上市规则</w:t>
      </w:r>
      <w:r w:rsidRPr="00F2769A">
        <w:rPr>
          <w:rStyle w:val="fontstyle01"/>
          <w:rFonts w:hint="default"/>
          <w:sz w:val="24"/>
        </w:rPr>
        <w:t>》第9.3.1</w:t>
      </w:r>
      <w:r>
        <w:rPr>
          <w:rStyle w:val="fontstyle01"/>
          <w:rFonts w:hint="default"/>
          <w:sz w:val="24"/>
        </w:rPr>
        <w:t>条</w:t>
      </w:r>
      <w:r w:rsidR="006F5D23">
        <w:rPr>
          <w:rStyle w:val="fontstyle01"/>
          <w:rFonts w:hint="default"/>
          <w:sz w:val="24"/>
        </w:rPr>
        <w:t>的相关规定，公司股票交易被</w:t>
      </w:r>
      <w:r w:rsidRPr="00F2769A">
        <w:rPr>
          <w:rStyle w:val="fontstyle01"/>
          <w:rFonts w:hint="default"/>
          <w:sz w:val="24"/>
        </w:rPr>
        <w:t>实施退</w:t>
      </w:r>
      <w:proofErr w:type="gramStart"/>
      <w:r w:rsidRPr="00F2769A">
        <w:rPr>
          <w:rStyle w:val="fontstyle01"/>
          <w:rFonts w:hint="default"/>
          <w:sz w:val="24"/>
        </w:rPr>
        <w:t>市风险</w:t>
      </w:r>
      <w:proofErr w:type="gramEnd"/>
      <w:r w:rsidRPr="00F2769A">
        <w:rPr>
          <w:rStyle w:val="fontstyle01"/>
          <w:rFonts w:hint="default"/>
          <w:sz w:val="24"/>
        </w:rPr>
        <w:t>警示。</w:t>
      </w:r>
    </w:p>
    <w:p w14:paraId="0B7D277F" w14:textId="64E029B4" w:rsidR="003D245A" w:rsidRDefault="003D245A" w:rsidP="003D245A">
      <w:pPr>
        <w:spacing w:line="360" w:lineRule="auto"/>
        <w:ind w:firstLine="480"/>
        <w:rPr>
          <w:rStyle w:val="fontstyle01"/>
          <w:rFonts w:hint="default"/>
          <w:sz w:val="24"/>
        </w:rPr>
      </w:pPr>
      <w:r>
        <w:rPr>
          <w:rStyle w:val="fontstyle01"/>
          <w:rFonts w:hint="default"/>
          <w:sz w:val="24"/>
        </w:rPr>
        <w:t>2、公司收到</w:t>
      </w:r>
      <w:r w:rsidRPr="003D245A">
        <w:rPr>
          <w:rStyle w:val="fontstyle01"/>
          <w:rFonts w:hint="default"/>
          <w:sz w:val="24"/>
        </w:rPr>
        <w:t>苏州中院送达（2024）苏05破50号《民事裁定书》，裁定受理申请人江苏欣意装饰工程有限公司对公司的重整申请。根据《</w:t>
      </w:r>
      <w:r w:rsidR="005135D4">
        <w:rPr>
          <w:rFonts w:asciiTheme="minorEastAsia" w:eastAsiaTheme="minorEastAsia" w:hAnsiTheme="minorEastAsia" w:hint="eastAsia"/>
          <w:sz w:val="24"/>
          <w:szCs w:val="28"/>
        </w:rPr>
        <w:t>上市规则</w:t>
      </w:r>
      <w:r w:rsidRPr="003D245A">
        <w:rPr>
          <w:rStyle w:val="fontstyle01"/>
          <w:rFonts w:hint="default"/>
          <w:sz w:val="24"/>
        </w:rPr>
        <w:t>》第9.4.1条第九项的规定，公司股票交易</w:t>
      </w:r>
      <w:r w:rsidR="00BD2205">
        <w:rPr>
          <w:rStyle w:val="fontstyle01"/>
          <w:rFonts w:hint="default"/>
          <w:sz w:val="24"/>
        </w:rPr>
        <w:t>被</w:t>
      </w:r>
      <w:r w:rsidRPr="003D245A">
        <w:rPr>
          <w:rStyle w:val="fontstyle01"/>
          <w:rFonts w:hint="default"/>
          <w:sz w:val="24"/>
        </w:rPr>
        <w:t>叠加退</w:t>
      </w:r>
      <w:proofErr w:type="gramStart"/>
      <w:r w:rsidRPr="003D245A">
        <w:rPr>
          <w:rStyle w:val="fontstyle01"/>
          <w:rFonts w:hint="default"/>
          <w:sz w:val="24"/>
        </w:rPr>
        <w:t>市风险</w:t>
      </w:r>
      <w:proofErr w:type="gramEnd"/>
      <w:r w:rsidRPr="003D245A">
        <w:rPr>
          <w:rStyle w:val="fontstyle01"/>
          <w:rFonts w:hint="default"/>
          <w:sz w:val="24"/>
        </w:rPr>
        <w:t>警示</w:t>
      </w:r>
      <w:r>
        <w:rPr>
          <w:rStyle w:val="fontstyle01"/>
          <w:rFonts w:hint="default"/>
          <w:sz w:val="24"/>
        </w:rPr>
        <w:t>。</w:t>
      </w:r>
    </w:p>
    <w:p w14:paraId="7D861F8F" w14:textId="77777777" w:rsidR="003D245A" w:rsidRPr="00BB169F" w:rsidRDefault="007C0958" w:rsidP="00BB169F">
      <w:pPr>
        <w:spacing w:beforeLines="50" w:before="156" w:afterLines="50" w:after="156"/>
        <w:ind w:firstLine="482"/>
        <w:rPr>
          <w:rStyle w:val="fontstyle01"/>
          <w:rFonts w:hint="default"/>
          <w:b/>
          <w:sz w:val="24"/>
        </w:rPr>
      </w:pPr>
      <w:r w:rsidRPr="00BB169F">
        <w:rPr>
          <w:rStyle w:val="fontstyle01"/>
          <w:rFonts w:hint="default"/>
          <w:b/>
          <w:sz w:val="24"/>
        </w:rPr>
        <w:t>（二）</w:t>
      </w:r>
      <w:r w:rsidR="003D245A" w:rsidRPr="00BB169F">
        <w:rPr>
          <w:rStyle w:val="fontstyle01"/>
          <w:rFonts w:hint="default"/>
          <w:b/>
          <w:sz w:val="24"/>
        </w:rPr>
        <w:t>实施其他风险警示的适用情形</w:t>
      </w:r>
    </w:p>
    <w:p w14:paraId="3A6EDD74" w14:textId="1F6E2414" w:rsidR="00893151" w:rsidRDefault="001247ED" w:rsidP="003076FC">
      <w:pPr>
        <w:spacing w:line="360" w:lineRule="auto"/>
        <w:ind w:firstLine="480"/>
        <w:rPr>
          <w:rStyle w:val="fontstyle01"/>
          <w:rFonts w:hint="default"/>
          <w:sz w:val="24"/>
        </w:rPr>
      </w:pPr>
      <w:r>
        <w:rPr>
          <w:rStyle w:val="fontstyle01"/>
          <w:rFonts w:hint="default"/>
          <w:sz w:val="24"/>
        </w:rPr>
        <w:t>公司因触及《</w:t>
      </w:r>
      <w:r w:rsidR="005135D4">
        <w:rPr>
          <w:rFonts w:asciiTheme="minorEastAsia" w:eastAsiaTheme="minorEastAsia" w:hAnsiTheme="minorEastAsia" w:hint="eastAsia"/>
          <w:sz w:val="24"/>
          <w:szCs w:val="28"/>
        </w:rPr>
        <w:t>上市规则</w:t>
      </w:r>
      <w:r>
        <w:rPr>
          <w:rStyle w:val="fontstyle01"/>
          <w:rFonts w:hint="default"/>
          <w:sz w:val="24"/>
        </w:rPr>
        <w:t>》9.8.1条</w:t>
      </w:r>
      <w:r w:rsidR="00ED3DBB">
        <w:rPr>
          <w:rStyle w:val="fontstyle01"/>
          <w:rFonts w:hint="default"/>
          <w:sz w:val="24"/>
        </w:rPr>
        <w:t>相关情形</w:t>
      </w:r>
      <w:r w:rsidR="003076FC">
        <w:rPr>
          <w:rFonts w:ascii="宋体" w:cs="宋体" w:hint="eastAsia"/>
          <w:color w:val="000000"/>
          <w:kern w:val="0"/>
          <w:sz w:val="24"/>
        </w:rPr>
        <w:t>:</w:t>
      </w:r>
      <w:r w:rsidR="003076FC">
        <w:rPr>
          <w:rStyle w:val="fontstyle01"/>
          <w:sz w:val="24"/>
        </w:rPr>
        <w:t>存在王柏兴及其</w:t>
      </w:r>
      <w:r w:rsidR="003076FC" w:rsidRPr="006647AC">
        <w:rPr>
          <w:rFonts w:ascii="宋体" w:cs="宋体" w:hint="eastAsia"/>
          <w:color w:val="000000"/>
          <w:kern w:val="0"/>
          <w:sz w:val="24"/>
        </w:rPr>
        <w:t>关联方非经营性资金占用</w:t>
      </w:r>
      <w:r w:rsidR="003076FC">
        <w:rPr>
          <w:rFonts w:ascii="宋体" w:cs="宋体" w:hint="eastAsia"/>
          <w:color w:val="000000"/>
          <w:kern w:val="0"/>
          <w:sz w:val="24"/>
        </w:rPr>
        <w:t>的</w:t>
      </w:r>
      <w:r w:rsidR="003076FC">
        <w:rPr>
          <w:rFonts w:ascii="宋体" w:cs="宋体" w:hint="eastAsia"/>
          <w:color w:val="000000"/>
          <w:kern w:val="0"/>
          <w:sz w:val="24"/>
        </w:rPr>
        <w:t>情况</w:t>
      </w:r>
      <w:r w:rsidR="003076FC">
        <w:rPr>
          <w:rFonts w:ascii="宋体" w:cs="宋体" w:hint="eastAsia"/>
          <w:color w:val="000000"/>
          <w:kern w:val="0"/>
          <w:sz w:val="24"/>
        </w:rPr>
        <w:t>，根据</w:t>
      </w:r>
      <w:r w:rsidR="003076FC" w:rsidRPr="00F2769A">
        <w:rPr>
          <w:rStyle w:val="fontstyle01"/>
          <w:rFonts w:hint="default"/>
          <w:sz w:val="24"/>
        </w:rPr>
        <w:t>《</w:t>
      </w:r>
      <w:r w:rsidR="003076FC" w:rsidRPr="00DE775F">
        <w:rPr>
          <w:rFonts w:ascii="宋体" w:cs="宋体" w:hint="eastAsia"/>
          <w:color w:val="000000"/>
          <w:kern w:val="0"/>
          <w:sz w:val="24"/>
        </w:rPr>
        <w:t>上市规则</w:t>
      </w:r>
      <w:r w:rsidR="003076FC" w:rsidRPr="00F2769A">
        <w:rPr>
          <w:rStyle w:val="fontstyle01"/>
          <w:rFonts w:hint="default"/>
          <w:sz w:val="24"/>
        </w:rPr>
        <w:t>》第9.</w:t>
      </w:r>
      <w:r w:rsidR="003076FC">
        <w:rPr>
          <w:rStyle w:val="fontstyle01"/>
          <w:rFonts w:hint="default"/>
          <w:sz w:val="24"/>
        </w:rPr>
        <w:t>8</w:t>
      </w:r>
      <w:r w:rsidR="003076FC" w:rsidRPr="00F2769A">
        <w:rPr>
          <w:rStyle w:val="fontstyle01"/>
          <w:rFonts w:hint="default"/>
          <w:sz w:val="24"/>
        </w:rPr>
        <w:t>.1</w:t>
      </w:r>
      <w:r w:rsidR="003076FC">
        <w:rPr>
          <w:rStyle w:val="fontstyle01"/>
          <w:rFonts w:hint="default"/>
          <w:sz w:val="24"/>
        </w:rPr>
        <w:t>条第（</w:t>
      </w:r>
      <w:r w:rsidR="003076FC">
        <w:rPr>
          <w:rStyle w:val="fontstyle01"/>
          <w:sz w:val="24"/>
        </w:rPr>
        <w:t>一</w:t>
      </w:r>
      <w:r w:rsidR="003076FC">
        <w:rPr>
          <w:rStyle w:val="fontstyle01"/>
          <w:rFonts w:hint="default"/>
          <w:sz w:val="24"/>
        </w:rPr>
        <w:t>）项</w:t>
      </w:r>
      <w:r w:rsidR="003076FC" w:rsidRPr="00F2769A">
        <w:rPr>
          <w:rStyle w:val="fontstyle01"/>
          <w:rFonts w:hint="default"/>
          <w:sz w:val="24"/>
        </w:rPr>
        <w:t>规定</w:t>
      </w:r>
      <w:r w:rsidR="003076FC">
        <w:rPr>
          <w:rStyle w:val="fontstyle01"/>
          <w:sz w:val="24"/>
        </w:rPr>
        <w:t>，</w:t>
      </w:r>
      <w:r w:rsidR="003076FC" w:rsidRPr="00354877">
        <w:rPr>
          <w:rStyle w:val="fontstyle01"/>
          <w:rFonts w:hint="default"/>
          <w:sz w:val="24"/>
        </w:rPr>
        <w:t>公司股票交易被实施其他风险警示</w:t>
      </w:r>
      <w:r w:rsidR="003076FC">
        <w:rPr>
          <w:rStyle w:val="fontstyle01"/>
          <w:rFonts w:hint="default"/>
          <w:sz w:val="24"/>
        </w:rPr>
        <w:t>。</w:t>
      </w:r>
      <w:r w:rsidR="00ED3DBB">
        <w:rPr>
          <w:rStyle w:val="fontstyle01"/>
          <w:rFonts w:hint="default"/>
          <w:sz w:val="24"/>
        </w:rPr>
        <w:t>以及</w:t>
      </w:r>
      <w:r w:rsidR="00893151">
        <w:rPr>
          <w:rStyle w:val="fontstyle01"/>
          <w:rFonts w:hint="default"/>
          <w:sz w:val="24"/>
        </w:rPr>
        <w:t>：</w:t>
      </w:r>
    </w:p>
    <w:p w14:paraId="1D75B234" w14:textId="24D92BB7" w:rsidR="003D245A" w:rsidRDefault="00114288" w:rsidP="003D245A">
      <w:pPr>
        <w:spacing w:line="360" w:lineRule="auto"/>
        <w:ind w:firstLine="480"/>
        <w:rPr>
          <w:rStyle w:val="fontstyle01"/>
          <w:rFonts w:hint="default"/>
          <w:sz w:val="24"/>
        </w:rPr>
      </w:pPr>
      <w:r>
        <w:rPr>
          <w:rStyle w:val="fontstyle01"/>
          <w:rFonts w:hint="default"/>
          <w:sz w:val="24"/>
        </w:rPr>
        <w:t>公司最近三年连续</w:t>
      </w:r>
      <w:proofErr w:type="gramStart"/>
      <w:r>
        <w:rPr>
          <w:rStyle w:val="fontstyle01"/>
          <w:rFonts w:hint="default"/>
          <w:sz w:val="24"/>
        </w:rPr>
        <w:t>亏损且苏亚</w:t>
      </w:r>
      <w:proofErr w:type="gramEnd"/>
      <w:r>
        <w:rPr>
          <w:rStyle w:val="fontstyle01"/>
          <w:rFonts w:hint="default"/>
          <w:sz w:val="24"/>
        </w:rPr>
        <w:t>金诚</w:t>
      </w:r>
      <w:r w:rsidRPr="00354877">
        <w:rPr>
          <w:rStyle w:val="fontstyle01"/>
          <w:rFonts w:hint="default"/>
          <w:sz w:val="24"/>
        </w:rPr>
        <w:t>对公司</w:t>
      </w:r>
      <w:r w:rsidR="0084290B">
        <w:rPr>
          <w:rStyle w:val="fontstyle01"/>
          <w:rFonts w:hint="default"/>
          <w:sz w:val="24"/>
        </w:rPr>
        <w:t>2023</w:t>
      </w:r>
      <w:r w:rsidRPr="00354877">
        <w:rPr>
          <w:rStyle w:val="fontstyle01"/>
          <w:rFonts w:hint="default"/>
          <w:sz w:val="24"/>
        </w:rPr>
        <w:t>年度财务报告出具了</w:t>
      </w:r>
      <w:proofErr w:type="gramStart"/>
      <w:r w:rsidRPr="00354877">
        <w:rPr>
          <w:rStyle w:val="fontstyle01"/>
          <w:rFonts w:hint="default"/>
          <w:sz w:val="24"/>
        </w:rPr>
        <w:t>带持续</w:t>
      </w:r>
      <w:proofErr w:type="gramEnd"/>
      <w:r w:rsidRPr="00354877">
        <w:rPr>
          <w:rStyle w:val="fontstyle01"/>
          <w:rFonts w:hint="default"/>
          <w:sz w:val="24"/>
        </w:rPr>
        <w:t>经营能力</w:t>
      </w:r>
      <w:r>
        <w:rPr>
          <w:rStyle w:val="fontstyle01"/>
          <w:rFonts w:hint="default"/>
          <w:sz w:val="24"/>
        </w:rPr>
        <w:t>重大</w:t>
      </w:r>
      <w:r w:rsidRPr="00354877">
        <w:rPr>
          <w:rStyle w:val="fontstyle01"/>
          <w:rFonts w:hint="default"/>
          <w:sz w:val="24"/>
        </w:rPr>
        <w:t>不确定性段落的</w:t>
      </w:r>
      <w:r>
        <w:rPr>
          <w:rStyle w:val="fontstyle01"/>
          <w:rFonts w:hint="default"/>
          <w:sz w:val="24"/>
        </w:rPr>
        <w:t>无保留意见的</w:t>
      </w:r>
      <w:r w:rsidRPr="00354877">
        <w:rPr>
          <w:rStyle w:val="fontstyle01"/>
          <w:rFonts w:hint="default"/>
          <w:sz w:val="24"/>
        </w:rPr>
        <w:t>审计报告</w:t>
      </w:r>
      <w:r>
        <w:rPr>
          <w:rStyle w:val="fontstyle01"/>
          <w:rFonts w:hint="default"/>
          <w:sz w:val="24"/>
        </w:rPr>
        <w:t>，</w:t>
      </w:r>
      <w:r w:rsidR="003D245A">
        <w:rPr>
          <w:rStyle w:val="fontstyle01"/>
          <w:rFonts w:hint="default"/>
          <w:sz w:val="24"/>
        </w:rPr>
        <w:t>根据</w:t>
      </w:r>
      <w:r w:rsidR="003D245A" w:rsidRPr="00F2769A">
        <w:rPr>
          <w:rStyle w:val="fontstyle01"/>
          <w:rFonts w:hint="default"/>
          <w:sz w:val="24"/>
        </w:rPr>
        <w:t>《</w:t>
      </w:r>
      <w:r w:rsidR="003D245A" w:rsidRPr="00DE775F">
        <w:rPr>
          <w:rFonts w:ascii="宋体" w:cs="宋体" w:hint="eastAsia"/>
          <w:color w:val="000000"/>
          <w:kern w:val="0"/>
          <w:sz w:val="24"/>
        </w:rPr>
        <w:t>上市规则</w:t>
      </w:r>
      <w:r w:rsidR="003D245A" w:rsidRPr="00F2769A">
        <w:rPr>
          <w:rStyle w:val="fontstyle01"/>
          <w:rFonts w:hint="default"/>
          <w:sz w:val="24"/>
        </w:rPr>
        <w:t>》第9.</w:t>
      </w:r>
      <w:r w:rsidR="003D245A">
        <w:rPr>
          <w:rStyle w:val="fontstyle01"/>
          <w:rFonts w:hint="default"/>
          <w:sz w:val="24"/>
        </w:rPr>
        <w:t>8</w:t>
      </w:r>
      <w:r w:rsidR="003D245A" w:rsidRPr="00F2769A">
        <w:rPr>
          <w:rStyle w:val="fontstyle01"/>
          <w:rFonts w:hint="default"/>
          <w:sz w:val="24"/>
        </w:rPr>
        <w:t>.1</w:t>
      </w:r>
      <w:r w:rsidR="00E451B4">
        <w:rPr>
          <w:rStyle w:val="fontstyle01"/>
          <w:rFonts w:hint="default"/>
          <w:sz w:val="24"/>
        </w:rPr>
        <w:t>条第</w:t>
      </w:r>
      <w:r w:rsidR="003D245A">
        <w:rPr>
          <w:rStyle w:val="fontstyle01"/>
          <w:rFonts w:hint="default"/>
          <w:sz w:val="24"/>
        </w:rPr>
        <w:t>（七）</w:t>
      </w:r>
      <w:r w:rsidR="00ED3DBB">
        <w:rPr>
          <w:rStyle w:val="fontstyle01"/>
          <w:rFonts w:hint="default"/>
          <w:sz w:val="24"/>
        </w:rPr>
        <w:t>项</w:t>
      </w:r>
      <w:r w:rsidR="003D245A" w:rsidRPr="00F2769A">
        <w:rPr>
          <w:rStyle w:val="fontstyle01"/>
          <w:rFonts w:hint="default"/>
          <w:sz w:val="24"/>
        </w:rPr>
        <w:t>规定</w:t>
      </w:r>
      <w:r>
        <w:rPr>
          <w:rStyle w:val="fontstyle01"/>
          <w:rFonts w:hint="default"/>
          <w:sz w:val="24"/>
        </w:rPr>
        <w:t>，</w:t>
      </w:r>
      <w:r w:rsidR="003D245A" w:rsidRPr="00354877">
        <w:rPr>
          <w:rStyle w:val="fontstyle01"/>
          <w:rFonts w:hint="default"/>
          <w:sz w:val="24"/>
        </w:rPr>
        <w:t>公司股票交易被</w:t>
      </w:r>
      <w:r w:rsidR="003D245A">
        <w:rPr>
          <w:rStyle w:val="fontstyle01"/>
          <w:rFonts w:hint="default"/>
          <w:sz w:val="24"/>
        </w:rPr>
        <w:t>叠加</w:t>
      </w:r>
      <w:r w:rsidR="003D245A" w:rsidRPr="00354877">
        <w:rPr>
          <w:rStyle w:val="fontstyle01"/>
          <w:rFonts w:hint="default"/>
          <w:sz w:val="24"/>
        </w:rPr>
        <w:t>实施其他风险警示</w:t>
      </w:r>
      <w:r w:rsidR="003D245A">
        <w:rPr>
          <w:rStyle w:val="fontstyle01"/>
          <w:rFonts w:hint="default"/>
          <w:sz w:val="24"/>
        </w:rPr>
        <w:t>。</w:t>
      </w:r>
    </w:p>
    <w:p w14:paraId="4742351B" w14:textId="749641C9" w:rsidR="003D245A" w:rsidRPr="00E27CEB" w:rsidRDefault="001247ED" w:rsidP="003D245A">
      <w:pPr>
        <w:spacing w:line="360" w:lineRule="auto"/>
        <w:ind w:firstLine="480"/>
        <w:rPr>
          <w:rFonts w:ascii="宋体" w:hAnsi="宋体"/>
          <w:color w:val="000000"/>
          <w:sz w:val="24"/>
          <w:szCs w:val="28"/>
        </w:rPr>
      </w:pPr>
      <w:r>
        <w:rPr>
          <w:rStyle w:val="fontstyle01"/>
          <w:rFonts w:hint="default"/>
          <w:sz w:val="24"/>
        </w:rPr>
        <w:t>公司</w:t>
      </w:r>
      <w:r>
        <w:rPr>
          <w:rStyle w:val="fontstyle01"/>
          <w:rFonts w:hAnsi="Times New Roman" w:cs="宋体" w:hint="default"/>
          <w:kern w:val="0"/>
          <w:sz w:val="24"/>
          <w:szCs w:val="24"/>
        </w:rPr>
        <w:t>收到</w:t>
      </w:r>
      <w:r w:rsidRPr="006F6409">
        <w:rPr>
          <w:rStyle w:val="fontstyle01"/>
          <w:rFonts w:hAnsi="Times New Roman" w:cs="宋体" w:hint="default"/>
          <w:kern w:val="0"/>
          <w:sz w:val="24"/>
          <w:szCs w:val="24"/>
        </w:rPr>
        <w:t>中国证券监督管理委员会下发</w:t>
      </w:r>
      <w:r>
        <w:rPr>
          <w:rFonts w:asciiTheme="minorEastAsia" w:eastAsiaTheme="minorEastAsia" w:hAnsiTheme="minorEastAsia" w:hint="eastAsia"/>
          <w:sz w:val="24"/>
          <w:szCs w:val="28"/>
        </w:rPr>
        <w:t>《</w:t>
      </w:r>
      <w:r w:rsidRPr="00194631">
        <w:rPr>
          <w:rFonts w:asciiTheme="minorEastAsia" w:eastAsiaTheme="minorEastAsia" w:hAnsiTheme="minorEastAsia" w:hint="eastAsia"/>
          <w:sz w:val="24"/>
          <w:szCs w:val="28"/>
        </w:rPr>
        <w:t>行政处罚及市场禁入事先告知书》</w:t>
      </w:r>
      <w:r>
        <w:rPr>
          <w:rFonts w:asciiTheme="minorEastAsia" w:eastAsiaTheme="minorEastAsia" w:hAnsiTheme="minorEastAsia" w:hint="eastAsia"/>
          <w:sz w:val="24"/>
          <w:szCs w:val="28"/>
        </w:rPr>
        <w:t>，</w:t>
      </w:r>
      <w:r w:rsidRPr="001247ED">
        <w:rPr>
          <w:rStyle w:val="fontstyle01"/>
          <w:rFonts w:hint="default"/>
          <w:sz w:val="24"/>
        </w:rPr>
        <w:t>根据《上市规则》第9.8.1 条第（八）项规定</w:t>
      </w:r>
      <w:r w:rsidR="005524D1">
        <w:rPr>
          <w:rStyle w:val="fontstyle01"/>
          <w:rFonts w:hint="default"/>
          <w:sz w:val="24"/>
        </w:rPr>
        <w:t>，公司股票</w:t>
      </w:r>
      <w:r w:rsidR="00893151">
        <w:rPr>
          <w:rStyle w:val="fontstyle01"/>
          <w:rFonts w:hint="default"/>
          <w:sz w:val="24"/>
        </w:rPr>
        <w:t>交易</w:t>
      </w:r>
      <w:r w:rsidR="005524D1">
        <w:rPr>
          <w:rStyle w:val="fontstyle01"/>
          <w:rFonts w:hint="default"/>
          <w:sz w:val="24"/>
        </w:rPr>
        <w:t>被叠加实施其他风险警示。</w:t>
      </w:r>
    </w:p>
    <w:p w14:paraId="6ABFF8B2" w14:textId="10431C11" w:rsidR="00D86326" w:rsidRPr="008D682B" w:rsidRDefault="008D682B" w:rsidP="008D682B">
      <w:pPr>
        <w:spacing w:beforeLines="50" w:before="156" w:afterLines="50" w:after="156" w:line="360" w:lineRule="auto"/>
        <w:ind w:firstLineChars="200" w:firstLine="482"/>
        <w:rPr>
          <w:rFonts w:ascii="宋体" w:cs="宋体"/>
          <w:b/>
          <w:color w:val="000000"/>
          <w:kern w:val="0"/>
          <w:sz w:val="24"/>
        </w:rPr>
      </w:pPr>
      <w:r w:rsidRPr="008D682B">
        <w:rPr>
          <w:rFonts w:ascii="宋体" w:cs="宋体" w:hint="eastAsia"/>
          <w:b/>
          <w:color w:val="000000"/>
          <w:kern w:val="0"/>
          <w:sz w:val="24"/>
        </w:rPr>
        <w:t>二、公司申请撤销</w:t>
      </w:r>
      <w:r w:rsidR="00ED3DBB">
        <w:rPr>
          <w:rFonts w:ascii="宋体" w:cs="宋体" w:hint="eastAsia"/>
          <w:b/>
          <w:color w:val="000000"/>
          <w:kern w:val="0"/>
          <w:sz w:val="24"/>
        </w:rPr>
        <w:t>部分</w:t>
      </w:r>
      <w:r w:rsidRPr="008D682B">
        <w:rPr>
          <w:rFonts w:ascii="宋体" w:cs="宋体" w:hint="eastAsia"/>
          <w:b/>
          <w:color w:val="000000"/>
          <w:kern w:val="0"/>
          <w:sz w:val="24"/>
        </w:rPr>
        <w:t>退</w:t>
      </w:r>
      <w:proofErr w:type="gramStart"/>
      <w:r w:rsidRPr="008D682B">
        <w:rPr>
          <w:rFonts w:ascii="宋体" w:cs="宋体" w:hint="eastAsia"/>
          <w:b/>
          <w:color w:val="000000"/>
          <w:kern w:val="0"/>
          <w:sz w:val="24"/>
        </w:rPr>
        <w:t>市风险</w:t>
      </w:r>
      <w:proofErr w:type="gramEnd"/>
      <w:r w:rsidRPr="008D682B">
        <w:rPr>
          <w:rFonts w:ascii="宋体" w:cs="宋体" w:hint="eastAsia"/>
          <w:b/>
          <w:color w:val="000000"/>
          <w:kern w:val="0"/>
          <w:sz w:val="24"/>
        </w:rPr>
        <w:t>警示及</w:t>
      </w:r>
      <w:r w:rsidR="00ED3DBB">
        <w:rPr>
          <w:rFonts w:ascii="宋体" w:cs="宋体" w:hint="eastAsia"/>
          <w:b/>
          <w:color w:val="000000"/>
          <w:kern w:val="0"/>
          <w:sz w:val="24"/>
        </w:rPr>
        <w:t>部分</w:t>
      </w:r>
      <w:r w:rsidRPr="008D682B">
        <w:rPr>
          <w:rFonts w:ascii="宋体" w:cs="宋体" w:hint="eastAsia"/>
          <w:b/>
          <w:color w:val="000000"/>
          <w:kern w:val="0"/>
          <w:sz w:val="24"/>
        </w:rPr>
        <w:t>其他风险警示的情况</w:t>
      </w:r>
    </w:p>
    <w:p w14:paraId="7D95FDFE" w14:textId="6B38AD2E" w:rsidR="008D682B" w:rsidRPr="00BB169F" w:rsidRDefault="008D682B" w:rsidP="00BB169F">
      <w:pPr>
        <w:spacing w:beforeLines="50" w:before="156" w:afterLines="50" w:after="156"/>
        <w:ind w:firstLine="482"/>
        <w:rPr>
          <w:rStyle w:val="fontstyle01"/>
          <w:rFonts w:hint="default"/>
          <w:b/>
          <w:sz w:val="24"/>
        </w:rPr>
      </w:pPr>
      <w:r w:rsidRPr="00BB169F">
        <w:rPr>
          <w:rStyle w:val="fontstyle01"/>
          <w:rFonts w:hint="default"/>
          <w:b/>
          <w:sz w:val="24"/>
        </w:rPr>
        <w:t>（一）公司申请撤销</w:t>
      </w:r>
      <w:r w:rsidR="00ED3DBB">
        <w:rPr>
          <w:rStyle w:val="fontstyle01"/>
          <w:rFonts w:hint="default"/>
          <w:b/>
          <w:sz w:val="24"/>
        </w:rPr>
        <w:t>部分</w:t>
      </w:r>
      <w:r w:rsidRPr="00BB169F">
        <w:rPr>
          <w:rStyle w:val="fontstyle01"/>
          <w:rFonts w:hint="default"/>
          <w:b/>
          <w:sz w:val="24"/>
        </w:rPr>
        <w:t>退</w:t>
      </w:r>
      <w:proofErr w:type="gramStart"/>
      <w:r w:rsidRPr="00BB169F">
        <w:rPr>
          <w:rStyle w:val="fontstyle01"/>
          <w:rFonts w:hint="default"/>
          <w:b/>
          <w:sz w:val="24"/>
        </w:rPr>
        <w:t>市风险</w:t>
      </w:r>
      <w:proofErr w:type="gramEnd"/>
      <w:r w:rsidRPr="00BB169F">
        <w:rPr>
          <w:rStyle w:val="fontstyle01"/>
          <w:rFonts w:hint="default"/>
          <w:b/>
          <w:sz w:val="24"/>
        </w:rPr>
        <w:t>警示的情况</w:t>
      </w:r>
    </w:p>
    <w:p w14:paraId="77A11D7D" w14:textId="3624EB12" w:rsidR="00EA74BA" w:rsidRDefault="008D682B" w:rsidP="00D86326">
      <w:pPr>
        <w:spacing w:line="360" w:lineRule="auto"/>
        <w:ind w:firstLine="480"/>
        <w:rPr>
          <w:rFonts w:asciiTheme="minorEastAsia" w:eastAsiaTheme="minorEastAsia" w:hAnsiTheme="minorEastAsia"/>
          <w:sz w:val="24"/>
          <w:szCs w:val="28"/>
        </w:rPr>
      </w:pPr>
      <w:r>
        <w:rPr>
          <w:rFonts w:ascii="宋体" w:hAnsi="宋体" w:hint="eastAsia"/>
          <w:color w:val="000000"/>
          <w:sz w:val="24"/>
          <w:szCs w:val="28"/>
        </w:rPr>
        <w:t>公司收到苏州中院送达的</w:t>
      </w:r>
      <w:r>
        <w:rPr>
          <w:rFonts w:asciiTheme="minorEastAsia" w:eastAsiaTheme="minorEastAsia" w:hAnsiTheme="minorEastAsia" w:hint="eastAsia"/>
          <w:sz w:val="24"/>
          <w:szCs w:val="28"/>
        </w:rPr>
        <w:t>（2</w:t>
      </w:r>
      <w:r>
        <w:rPr>
          <w:rFonts w:asciiTheme="minorEastAsia" w:eastAsiaTheme="minorEastAsia" w:hAnsiTheme="minorEastAsia"/>
          <w:sz w:val="24"/>
          <w:szCs w:val="28"/>
        </w:rPr>
        <w:t>024</w:t>
      </w:r>
      <w:r>
        <w:rPr>
          <w:rFonts w:asciiTheme="minorEastAsia" w:eastAsiaTheme="minorEastAsia" w:hAnsiTheme="minorEastAsia" w:hint="eastAsia"/>
          <w:sz w:val="24"/>
          <w:szCs w:val="28"/>
        </w:rPr>
        <w:t>）</w:t>
      </w:r>
      <w:r w:rsidRPr="007F14FD">
        <w:rPr>
          <w:rFonts w:asciiTheme="minorEastAsia" w:eastAsiaTheme="minorEastAsia" w:hAnsiTheme="minorEastAsia" w:hint="eastAsia"/>
          <w:sz w:val="24"/>
          <w:szCs w:val="28"/>
        </w:rPr>
        <w:t>苏</w:t>
      </w:r>
      <w:r>
        <w:rPr>
          <w:rFonts w:asciiTheme="minorEastAsia" w:eastAsiaTheme="minorEastAsia" w:hAnsiTheme="minorEastAsia" w:hint="eastAsia"/>
          <w:sz w:val="24"/>
          <w:szCs w:val="28"/>
        </w:rPr>
        <w:t>05</w:t>
      </w:r>
      <w:r w:rsidRPr="007F14FD">
        <w:rPr>
          <w:rFonts w:asciiTheme="minorEastAsia" w:eastAsiaTheme="minorEastAsia" w:hAnsiTheme="minorEastAsia" w:hint="eastAsia"/>
          <w:sz w:val="24"/>
          <w:szCs w:val="28"/>
        </w:rPr>
        <w:t>破</w:t>
      </w:r>
      <w:r>
        <w:rPr>
          <w:rFonts w:asciiTheme="minorEastAsia" w:eastAsiaTheme="minorEastAsia" w:hAnsiTheme="minorEastAsia" w:hint="eastAsia"/>
          <w:sz w:val="24"/>
          <w:szCs w:val="28"/>
        </w:rPr>
        <w:t>50</w:t>
      </w:r>
      <w:r w:rsidRPr="007F14FD">
        <w:rPr>
          <w:rFonts w:asciiTheme="minorEastAsia" w:eastAsiaTheme="minorEastAsia" w:hAnsiTheme="minorEastAsia" w:hint="eastAsia"/>
          <w:sz w:val="24"/>
          <w:szCs w:val="28"/>
        </w:rPr>
        <w:t>号</w:t>
      </w:r>
      <w:r>
        <w:rPr>
          <w:rFonts w:asciiTheme="minorEastAsia" w:eastAsiaTheme="minorEastAsia" w:hAnsiTheme="minorEastAsia" w:hint="eastAsia"/>
          <w:sz w:val="24"/>
          <w:szCs w:val="28"/>
        </w:rPr>
        <w:t>之四《民事裁定书》，裁定</w:t>
      </w:r>
      <w:r w:rsidR="0084290B">
        <w:rPr>
          <w:rFonts w:asciiTheme="minorEastAsia" w:eastAsiaTheme="minorEastAsia" w:hAnsiTheme="minorEastAsia" w:hint="eastAsia"/>
          <w:sz w:val="24"/>
          <w:szCs w:val="28"/>
        </w:rPr>
        <w:t>确认</w:t>
      </w:r>
      <w:r w:rsidR="001F2DA6">
        <w:rPr>
          <w:rFonts w:asciiTheme="minorEastAsia" w:eastAsiaTheme="minorEastAsia" w:hAnsiTheme="minorEastAsia" w:hint="eastAsia"/>
          <w:sz w:val="24"/>
          <w:szCs w:val="28"/>
        </w:rPr>
        <w:t>公司重整计划执行完毕并终结重整程序。公司因被苏州中院</w:t>
      </w:r>
      <w:r>
        <w:rPr>
          <w:rFonts w:asciiTheme="minorEastAsia" w:eastAsiaTheme="minorEastAsia" w:hAnsiTheme="minorEastAsia" w:hint="eastAsia"/>
          <w:sz w:val="24"/>
          <w:szCs w:val="28"/>
        </w:rPr>
        <w:t>裁定受理重整而触及的退</w:t>
      </w:r>
      <w:proofErr w:type="gramStart"/>
      <w:r>
        <w:rPr>
          <w:rFonts w:asciiTheme="minorEastAsia" w:eastAsiaTheme="minorEastAsia" w:hAnsiTheme="minorEastAsia" w:hint="eastAsia"/>
          <w:sz w:val="24"/>
          <w:szCs w:val="28"/>
        </w:rPr>
        <w:t>市风险</w:t>
      </w:r>
      <w:proofErr w:type="gramEnd"/>
      <w:r>
        <w:rPr>
          <w:rFonts w:asciiTheme="minorEastAsia" w:eastAsiaTheme="minorEastAsia" w:hAnsiTheme="minorEastAsia" w:hint="eastAsia"/>
          <w:sz w:val="24"/>
          <w:szCs w:val="28"/>
        </w:rPr>
        <w:t>警示情形已经消除。</w:t>
      </w:r>
    </w:p>
    <w:p w14:paraId="743BD09C" w14:textId="49374D86" w:rsidR="00EA74BA" w:rsidRPr="00BB169F" w:rsidRDefault="00EA74BA" w:rsidP="00BB169F">
      <w:pPr>
        <w:spacing w:beforeLines="50" w:before="156" w:afterLines="50" w:after="156"/>
        <w:ind w:firstLine="482"/>
        <w:rPr>
          <w:rStyle w:val="fontstyle01"/>
          <w:rFonts w:hint="default"/>
          <w:b/>
          <w:sz w:val="24"/>
        </w:rPr>
      </w:pPr>
      <w:r w:rsidRPr="00BB169F">
        <w:rPr>
          <w:rStyle w:val="fontstyle01"/>
          <w:rFonts w:hint="default"/>
          <w:b/>
          <w:sz w:val="24"/>
        </w:rPr>
        <w:t>（二）公司申请撤销部</w:t>
      </w:r>
      <w:r w:rsidR="00ED3DBB">
        <w:rPr>
          <w:rStyle w:val="fontstyle01"/>
          <w:rFonts w:hint="default"/>
          <w:b/>
          <w:sz w:val="24"/>
        </w:rPr>
        <w:t>分</w:t>
      </w:r>
      <w:r w:rsidRPr="00BB169F">
        <w:rPr>
          <w:rStyle w:val="fontstyle01"/>
          <w:rFonts w:hint="default"/>
          <w:b/>
          <w:sz w:val="24"/>
        </w:rPr>
        <w:t>其他风险警示的情况</w:t>
      </w:r>
    </w:p>
    <w:p w14:paraId="6E0587F3" w14:textId="0EF7EB0A" w:rsidR="00EA74BA" w:rsidRPr="00D86326" w:rsidRDefault="0084290B" w:rsidP="00D86326">
      <w:pPr>
        <w:spacing w:line="360" w:lineRule="auto"/>
        <w:ind w:firstLine="480"/>
        <w:rPr>
          <w:rFonts w:ascii="宋体" w:hAnsi="宋体"/>
          <w:color w:val="000000"/>
          <w:sz w:val="24"/>
          <w:szCs w:val="28"/>
        </w:rPr>
      </w:pPr>
      <w:r>
        <w:rPr>
          <w:rFonts w:asciiTheme="minorEastAsia" w:eastAsiaTheme="minorEastAsia" w:hAnsiTheme="minorEastAsia" w:hint="eastAsia"/>
          <w:sz w:val="24"/>
          <w:szCs w:val="28"/>
        </w:rPr>
        <w:t>容诚</w:t>
      </w:r>
      <w:r w:rsidR="00EA74BA" w:rsidRPr="00EA74BA">
        <w:rPr>
          <w:rFonts w:asciiTheme="minorEastAsia" w:eastAsiaTheme="minorEastAsia" w:hAnsiTheme="minorEastAsia" w:hint="eastAsia"/>
          <w:sz w:val="24"/>
          <w:szCs w:val="28"/>
        </w:rPr>
        <w:t>所出具</w:t>
      </w:r>
      <w:r w:rsidR="00F51D06" w:rsidRPr="00F51D06">
        <w:rPr>
          <w:rFonts w:asciiTheme="minorEastAsia" w:eastAsiaTheme="minorEastAsia" w:hAnsiTheme="minorEastAsia" w:hint="eastAsia"/>
          <w:sz w:val="24"/>
          <w:szCs w:val="28"/>
        </w:rPr>
        <w:t>《关于江苏中利集团股份有限公司大股东及其附属企业非经营性资金占用清偿情况的专项说明》</w:t>
      </w:r>
      <w:r w:rsidR="00F51D06">
        <w:rPr>
          <w:rFonts w:asciiTheme="minorEastAsia" w:eastAsiaTheme="minorEastAsia" w:hAnsiTheme="minorEastAsia" w:hint="eastAsia"/>
          <w:sz w:val="24"/>
          <w:szCs w:val="28"/>
        </w:rPr>
        <w:t>（</w:t>
      </w:r>
      <w:proofErr w:type="gramStart"/>
      <w:r w:rsidR="00F51D06" w:rsidRPr="00F51D06">
        <w:rPr>
          <w:rFonts w:asciiTheme="minorEastAsia" w:eastAsiaTheme="minorEastAsia" w:hAnsiTheme="minorEastAsia" w:hint="eastAsia"/>
          <w:sz w:val="24"/>
          <w:szCs w:val="28"/>
        </w:rPr>
        <w:t>容诚专字</w:t>
      </w:r>
      <w:proofErr w:type="gramEnd"/>
      <w:r w:rsidR="00F51D06" w:rsidRPr="00F51D06">
        <w:rPr>
          <w:rFonts w:asciiTheme="minorEastAsia" w:eastAsiaTheme="minorEastAsia" w:hAnsiTheme="minorEastAsia" w:hint="eastAsia"/>
          <w:sz w:val="24"/>
          <w:szCs w:val="28"/>
        </w:rPr>
        <w:t>[2025]361Z0006号</w:t>
      </w:r>
      <w:r w:rsidR="00F51D06">
        <w:rPr>
          <w:rFonts w:asciiTheme="minorEastAsia" w:eastAsiaTheme="minorEastAsia" w:hAnsiTheme="minorEastAsia" w:hint="eastAsia"/>
          <w:sz w:val="24"/>
          <w:szCs w:val="28"/>
        </w:rPr>
        <w:t>）</w:t>
      </w:r>
      <w:r w:rsidR="00EA74BA" w:rsidRPr="00EA74BA">
        <w:rPr>
          <w:rFonts w:asciiTheme="minorEastAsia" w:eastAsiaTheme="minorEastAsia" w:hAnsiTheme="minorEastAsia" w:hint="eastAsia"/>
          <w:sz w:val="24"/>
          <w:szCs w:val="28"/>
        </w:rPr>
        <w:t>，确认公司已按照江苏证监局出具《行政监管措施决定书》（[2024]88号）的要求完成了非经营性资金占用问题的整改，</w:t>
      </w:r>
      <w:r w:rsidR="00ED3DBB" w:rsidRPr="00ED3DBB">
        <w:rPr>
          <w:rFonts w:asciiTheme="minorEastAsia" w:eastAsiaTheme="minorEastAsia" w:hAnsiTheme="minorEastAsia" w:hint="eastAsia"/>
          <w:sz w:val="24"/>
          <w:szCs w:val="28"/>
        </w:rPr>
        <w:t>被王柏兴及其关联方非经营性占用的资金已清偿完毕。</w:t>
      </w:r>
      <w:r w:rsidR="00BB169F">
        <w:rPr>
          <w:rFonts w:asciiTheme="minorEastAsia" w:eastAsiaTheme="minorEastAsia" w:hAnsiTheme="minorEastAsia" w:hint="eastAsia"/>
          <w:sz w:val="24"/>
          <w:szCs w:val="28"/>
        </w:rPr>
        <w:lastRenderedPageBreak/>
        <w:t>公司</w:t>
      </w:r>
      <w:r w:rsidR="00ED3DBB" w:rsidRPr="00ED3DBB">
        <w:rPr>
          <w:rFonts w:asciiTheme="minorEastAsia" w:eastAsiaTheme="minorEastAsia" w:hAnsiTheme="minorEastAsia" w:hint="eastAsia"/>
          <w:sz w:val="24"/>
          <w:szCs w:val="28"/>
        </w:rPr>
        <w:t>因被王柏兴及其关联方非经营性资金占用而</w:t>
      </w:r>
      <w:r w:rsidR="00BB169F">
        <w:rPr>
          <w:rFonts w:asciiTheme="minorEastAsia" w:eastAsiaTheme="minorEastAsia" w:hAnsiTheme="minorEastAsia" w:hint="eastAsia"/>
          <w:sz w:val="24"/>
          <w:szCs w:val="28"/>
        </w:rPr>
        <w:t>触及的其他风险警示情形已经消除</w:t>
      </w:r>
      <w:r w:rsidR="00EA74BA" w:rsidRPr="00EA74BA">
        <w:rPr>
          <w:rFonts w:asciiTheme="minorEastAsia" w:eastAsiaTheme="minorEastAsia" w:hAnsiTheme="minorEastAsia" w:hint="eastAsia"/>
          <w:sz w:val="24"/>
          <w:szCs w:val="28"/>
        </w:rPr>
        <w:t>。</w:t>
      </w:r>
    </w:p>
    <w:p w14:paraId="28940C23" w14:textId="130224D8" w:rsidR="007C0958" w:rsidRPr="007F19A9" w:rsidRDefault="007C0958" w:rsidP="007C0958">
      <w:pPr>
        <w:spacing w:beforeLines="50" w:before="156" w:afterLines="50" w:after="156" w:line="360" w:lineRule="auto"/>
        <w:ind w:firstLineChars="200" w:firstLine="482"/>
        <w:rPr>
          <w:b/>
        </w:rPr>
      </w:pPr>
      <w:r w:rsidRPr="007F19A9">
        <w:rPr>
          <w:rFonts w:ascii="宋体" w:cs="宋体" w:hint="eastAsia"/>
          <w:b/>
          <w:color w:val="000000"/>
          <w:kern w:val="0"/>
          <w:sz w:val="24"/>
        </w:rPr>
        <w:t>三、</w:t>
      </w:r>
      <w:r w:rsidR="008D682B" w:rsidRPr="008D682B">
        <w:rPr>
          <w:rFonts w:ascii="宋体" w:cs="宋体" w:hint="eastAsia"/>
          <w:b/>
          <w:color w:val="000000"/>
          <w:kern w:val="0"/>
          <w:sz w:val="24"/>
        </w:rPr>
        <w:t>公司继续实施</w:t>
      </w:r>
      <w:r w:rsidR="00EA74BA">
        <w:rPr>
          <w:rFonts w:ascii="宋体" w:cs="宋体" w:hint="eastAsia"/>
          <w:b/>
          <w:color w:val="000000"/>
          <w:kern w:val="0"/>
          <w:sz w:val="24"/>
        </w:rPr>
        <w:t>退</w:t>
      </w:r>
      <w:proofErr w:type="gramStart"/>
      <w:r w:rsidR="00EA74BA">
        <w:rPr>
          <w:rFonts w:ascii="宋体" w:cs="宋体" w:hint="eastAsia"/>
          <w:b/>
          <w:color w:val="000000"/>
          <w:kern w:val="0"/>
          <w:sz w:val="24"/>
        </w:rPr>
        <w:t>市风险</w:t>
      </w:r>
      <w:proofErr w:type="gramEnd"/>
      <w:r w:rsidR="00EA74BA">
        <w:rPr>
          <w:rFonts w:ascii="宋体" w:cs="宋体" w:hint="eastAsia"/>
          <w:b/>
          <w:color w:val="000000"/>
          <w:kern w:val="0"/>
          <w:sz w:val="24"/>
        </w:rPr>
        <w:t>警示及</w:t>
      </w:r>
      <w:r w:rsidR="008D682B" w:rsidRPr="008D682B">
        <w:rPr>
          <w:rFonts w:ascii="宋体" w:cs="宋体" w:hint="eastAsia"/>
          <w:b/>
          <w:color w:val="000000"/>
          <w:kern w:val="0"/>
          <w:sz w:val="24"/>
        </w:rPr>
        <w:t>其他风险警示的情况</w:t>
      </w:r>
    </w:p>
    <w:p w14:paraId="78546603" w14:textId="6497C5B8" w:rsidR="00EA74BA" w:rsidRDefault="00B37708" w:rsidP="00EA74BA">
      <w:pPr>
        <w:spacing w:line="360" w:lineRule="auto"/>
        <w:ind w:firstLineChars="200" w:firstLine="480"/>
        <w:rPr>
          <w:rFonts w:ascii="宋体" w:cs="宋体"/>
          <w:color w:val="000000"/>
          <w:kern w:val="0"/>
          <w:sz w:val="24"/>
        </w:rPr>
      </w:pPr>
      <w:r w:rsidRPr="002D412E">
        <w:rPr>
          <w:rFonts w:ascii="宋体" w:hAnsi="宋体" w:cs="宋体" w:hint="eastAsia"/>
          <w:color w:val="000000"/>
          <w:kern w:val="0"/>
          <w:sz w:val="24"/>
        </w:rPr>
        <w:t>鉴于公司仍存在其他触及退</w:t>
      </w:r>
      <w:proofErr w:type="gramStart"/>
      <w:r w:rsidRPr="002D412E">
        <w:rPr>
          <w:rFonts w:ascii="宋体" w:hAnsi="宋体" w:cs="宋体" w:hint="eastAsia"/>
          <w:color w:val="000000"/>
          <w:kern w:val="0"/>
          <w:sz w:val="24"/>
        </w:rPr>
        <w:t>市风险</w:t>
      </w:r>
      <w:proofErr w:type="gramEnd"/>
      <w:r w:rsidRPr="002D412E">
        <w:rPr>
          <w:rFonts w:ascii="宋体" w:hAnsi="宋体" w:cs="宋体" w:hint="eastAsia"/>
          <w:color w:val="000000"/>
          <w:kern w:val="0"/>
          <w:sz w:val="24"/>
        </w:rPr>
        <w:t>警示和其他风险警示的情形，</w:t>
      </w:r>
      <w:r w:rsidRPr="006F4B4E">
        <w:rPr>
          <w:rFonts w:ascii="宋体" w:hAnsi="宋体" w:cs="宋体" w:hint="eastAsia"/>
          <w:color w:val="000000"/>
          <w:kern w:val="0"/>
          <w:sz w:val="24"/>
        </w:rPr>
        <w:t>如本次撤销</w:t>
      </w:r>
      <w:r w:rsidR="00BB169F">
        <w:rPr>
          <w:rFonts w:ascii="宋体" w:hAnsi="宋体" w:cs="宋体" w:hint="eastAsia"/>
          <w:color w:val="000000"/>
          <w:kern w:val="0"/>
          <w:sz w:val="24"/>
        </w:rPr>
        <w:t>申请获得深交所</w:t>
      </w:r>
      <w:r w:rsidRPr="006F4B4E">
        <w:rPr>
          <w:rFonts w:ascii="宋体" w:hAnsi="宋体" w:cs="宋体" w:hint="eastAsia"/>
          <w:color w:val="000000"/>
          <w:kern w:val="0"/>
          <w:sz w:val="24"/>
        </w:rPr>
        <w:t>批准</w:t>
      </w:r>
      <w:r>
        <w:rPr>
          <w:rFonts w:ascii="宋体" w:hAnsi="宋体" w:cs="宋体" w:hint="eastAsia"/>
          <w:color w:val="000000"/>
          <w:kern w:val="0"/>
          <w:sz w:val="24"/>
        </w:rPr>
        <w:t>，</w:t>
      </w:r>
      <w:r w:rsidRPr="002D412E">
        <w:rPr>
          <w:rFonts w:ascii="宋体" w:hAnsi="宋体" w:cs="宋体" w:hint="eastAsia"/>
          <w:color w:val="000000"/>
          <w:kern w:val="0"/>
          <w:sz w:val="24"/>
        </w:rPr>
        <w:t>公司股票</w:t>
      </w:r>
      <w:r w:rsidR="001C05F7">
        <w:rPr>
          <w:rFonts w:ascii="宋体" w:hAnsi="宋体" w:cs="宋体" w:hint="eastAsia"/>
          <w:color w:val="000000"/>
          <w:kern w:val="0"/>
          <w:sz w:val="24"/>
        </w:rPr>
        <w:t>仍</w:t>
      </w:r>
      <w:r w:rsidRPr="002D412E">
        <w:rPr>
          <w:rFonts w:ascii="宋体" w:hAnsi="宋体" w:cs="宋体" w:hint="eastAsia"/>
          <w:color w:val="000000"/>
          <w:kern w:val="0"/>
          <w:sz w:val="24"/>
        </w:rPr>
        <w:t>将继续被实施退</w:t>
      </w:r>
      <w:proofErr w:type="gramStart"/>
      <w:r w:rsidRPr="002D412E">
        <w:rPr>
          <w:rFonts w:ascii="宋体" w:hAnsi="宋体" w:cs="宋体" w:hint="eastAsia"/>
          <w:color w:val="000000"/>
          <w:kern w:val="0"/>
          <w:sz w:val="24"/>
        </w:rPr>
        <w:t>市风险</w:t>
      </w:r>
      <w:proofErr w:type="gramEnd"/>
      <w:r w:rsidRPr="002D412E">
        <w:rPr>
          <w:rFonts w:ascii="宋体" w:hAnsi="宋体" w:cs="宋体" w:hint="eastAsia"/>
          <w:color w:val="000000"/>
          <w:kern w:val="0"/>
          <w:sz w:val="24"/>
        </w:rPr>
        <w:t>警示和其他风险警示</w:t>
      </w:r>
      <w:r>
        <w:rPr>
          <w:rFonts w:ascii="宋体" w:hAnsi="宋体" w:cs="宋体" w:hint="eastAsia"/>
          <w:color w:val="000000"/>
          <w:kern w:val="0"/>
          <w:sz w:val="24"/>
        </w:rPr>
        <w:t>，</w:t>
      </w:r>
      <w:r>
        <w:rPr>
          <w:rFonts w:asciiTheme="majorEastAsia" w:eastAsiaTheme="majorEastAsia" w:hAnsiTheme="majorEastAsia" w:hint="eastAsia"/>
          <w:sz w:val="24"/>
        </w:rPr>
        <w:t>公司股票简称不变，</w:t>
      </w:r>
      <w:r w:rsidRPr="00DE775F">
        <w:rPr>
          <w:rFonts w:ascii="宋体" w:cs="宋体" w:hint="eastAsia"/>
          <w:color w:val="000000"/>
          <w:kern w:val="0"/>
          <w:sz w:val="24"/>
        </w:rPr>
        <w:t>股票交易日涨跌幅限制</w:t>
      </w:r>
      <w:r>
        <w:rPr>
          <w:rFonts w:ascii="宋体" w:cs="宋体" w:hint="eastAsia"/>
          <w:color w:val="000000"/>
          <w:kern w:val="0"/>
          <w:sz w:val="24"/>
        </w:rPr>
        <w:t>仍</w:t>
      </w:r>
      <w:r w:rsidRPr="00DE775F">
        <w:rPr>
          <w:rFonts w:ascii="宋体" w:cs="宋体" w:hint="eastAsia"/>
          <w:color w:val="000000"/>
          <w:kern w:val="0"/>
          <w:sz w:val="24"/>
        </w:rPr>
        <w:t>为5%</w:t>
      </w:r>
      <w:r w:rsidRPr="006F6409">
        <w:rPr>
          <w:rFonts w:ascii="宋体" w:cs="宋体" w:hint="eastAsia"/>
          <w:color w:val="000000"/>
          <w:kern w:val="0"/>
          <w:sz w:val="24"/>
        </w:rPr>
        <w:t>。</w:t>
      </w:r>
    </w:p>
    <w:p w14:paraId="7D666213" w14:textId="0959662F" w:rsidR="007C0958" w:rsidRPr="00C24EB3" w:rsidRDefault="007C0958" w:rsidP="007C0958">
      <w:pPr>
        <w:spacing w:beforeLines="50" w:before="156" w:afterLines="50" w:after="156" w:line="360" w:lineRule="auto"/>
        <w:ind w:firstLineChars="200" w:firstLine="482"/>
        <w:rPr>
          <w:rFonts w:ascii="宋体" w:cs="宋体"/>
          <w:b/>
          <w:color w:val="000000"/>
          <w:kern w:val="0"/>
          <w:sz w:val="24"/>
        </w:rPr>
      </w:pPr>
      <w:r w:rsidRPr="00C24EB3">
        <w:rPr>
          <w:rFonts w:ascii="宋体" w:cs="宋体" w:hint="eastAsia"/>
          <w:b/>
          <w:color w:val="000000"/>
          <w:kern w:val="0"/>
          <w:sz w:val="24"/>
        </w:rPr>
        <w:t>四、</w:t>
      </w:r>
      <w:r w:rsidR="008D682B" w:rsidRPr="008D682B">
        <w:rPr>
          <w:rFonts w:ascii="宋体" w:cs="宋体" w:hint="eastAsia"/>
          <w:b/>
          <w:color w:val="000000"/>
          <w:kern w:val="0"/>
          <w:sz w:val="24"/>
        </w:rPr>
        <w:t>其他说明及风险提示</w:t>
      </w:r>
    </w:p>
    <w:p w14:paraId="58A8FB21" w14:textId="228C47C4" w:rsidR="007C0958" w:rsidRDefault="00632E19" w:rsidP="007C0958">
      <w:pPr>
        <w:spacing w:line="360" w:lineRule="auto"/>
        <w:ind w:firstLineChars="200" w:firstLine="480"/>
        <w:rPr>
          <w:rFonts w:asciiTheme="majorEastAsia" w:eastAsiaTheme="majorEastAsia" w:hAnsiTheme="majorEastAsia"/>
          <w:sz w:val="24"/>
        </w:rPr>
      </w:pPr>
      <w:r w:rsidRPr="00632E19">
        <w:rPr>
          <w:rFonts w:asciiTheme="majorEastAsia" w:eastAsiaTheme="majorEastAsia" w:hAnsiTheme="majorEastAsia" w:hint="eastAsia"/>
          <w:sz w:val="24"/>
        </w:rPr>
        <w:t>公司</w:t>
      </w:r>
      <w:r w:rsidR="00BB169F">
        <w:rPr>
          <w:rFonts w:asciiTheme="majorEastAsia" w:eastAsiaTheme="majorEastAsia" w:hAnsiTheme="majorEastAsia" w:hint="eastAsia"/>
          <w:sz w:val="24"/>
        </w:rPr>
        <w:t>本次申请撤销部分退</w:t>
      </w:r>
      <w:proofErr w:type="gramStart"/>
      <w:r w:rsidR="00BB169F">
        <w:rPr>
          <w:rFonts w:asciiTheme="majorEastAsia" w:eastAsiaTheme="majorEastAsia" w:hAnsiTheme="majorEastAsia" w:hint="eastAsia"/>
          <w:sz w:val="24"/>
        </w:rPr>
        <w:t>市风险</w:t>
      </w:r>
      <w:proofErr w:type="gramEnd"/>
      <w:r w:rsidR="00BB169F">
        <w:rPr>
          <w:rFonts w:asciiTheme="majorEastAsia" w:eastAsiaTheme="majorEastAsia" w:hAnsiTheme="majorEastAsia" w:hint="eastAsia"/>
          <w:sz w:val="24"/>
        </w:rPr>
        <w:t>警示及部分其他风险警示尚需深交所批准，最终能否获得深交所批准尚具有不确定性，公司将根据该</w:t>
      </w:r>
      <w:r w:rsidRPr="00632E19">
        <w:rPr>
          <w:rFonts w:asciiTheme="majorEastAsia" w:eastAsiaTheme="majorEastAsia" w:hAnsiTheme="majorEastAsia" w:hint="eastAsia"/>
          <w:sz w:val="24"/>
        </w:rPr>
        <w:t>事项的进展情况，及时履行信息披露义务</w:t>
      </w:r>
      <w:r>
        <w:rPr>
          <w:rFonts w:asciiTheme="majorEastAsia" w:eastAsiaTheme="majorEastAsia" w:hAnsiTheme="majorEastAsia" w:hint="eastAsia"/>
          <w:sz w:val="24"/>
        </w:rPr>
        <w:t>。</w:t>
      </w:r>
    </w:p>
    <w:p w14:paraId="51380991" w14:textId="77777777" w:rsidR="00632E19" w:rsidRPr="00BB169F" w:rsidRDefault="00632E19" w:rsidP="007C0958">
      <w:pPr>
        <w:spacing w:line="360" w:lineRule="auto"/>
        <w:ind w:firstLineChars="200" w:firstLine="480"/>
        <w:rPr>
          <w:rFonts w:ascii="宋体" w:cs="宋体"/>
          <w:color w:val="000000"/>
          <w:kern w:val="0"/>
          <w:sz w:val="24"/>
        </w:rPr>
      </w:pPr>
    </w:p>
    <w:p w14:paraId="65B6F4C2" w14:textId="4405D1A9" w:rsidR="007C0958" w:rsidRDefault="007C0958" w:rsidP="007C0958">
      <w:pPr>
        <w:spacing w:line="360" w:lineRule="auto"/>
        <w:ind w:firstLineChars="200" w:firstLine="480"/>
        <w:rPr>
          <w:color w:val="000000"/>
          <w:sz w:val="24"/>
          <w:szCs w:val="28"/>
        </w:rPr>
      </w:pPr>
      <w:r w:rsidRPr="00AA3A8C">
        <w:rPr>
          <w:rFonts w:ascii="宋体" w:cs="宋体" w:hint="eastAsia"/>
          <w:color w:val="000000"/>
          <w:kern w:val="0"/>
          <w:sz w:val="24"/>
        </w:rPr>
        <w:t>公</w:t>
      </w:r>
      <w:r>
        <w:rPr>
          <w:rFonts w:ascii="宋体" w:cs="宋体" w:hint="eastAsia"/>
          <w:color w:val="000000"/>
          <w:kern w:val="0"/>
          <w:sz w:val="24"/>
        </w:rPr>
        <w:t>司董事会郑重提醒广大投资者：公司指定信息披露媒体为</w:t>
      </w:r>
      <w:r w:rsidR="00E80C6D">
        <w:rPr>
          <w:rFonts w:ascii="宋体" w:cs="宋体" w:hint="eastAsia"/>
          <w:color w:val="000000"/>
          <w:kern w:val="0"/>
          <w:sz w:val="24"/>
        </w:rPr>
        <w:t>《证券时报》</w:t>
      </w:r>
      <w:r>
        <w:rPr>
          <w:rFonts w:ascii="宋体" w:cs="宋体" w:hint="eastAsia"/>
          <w:color w:val="000000"/>
          <w:kern w:val="0"/>
          <w:sz w:val="24"/>
        </w:rPr>
        <w:t>《证券日报》</w:t>
      </w:r>
      <w:r w:rsidRPr="00AA3A8C">
        <w:rPr>
          <w:rFonts w:ascii="宋体" w:cs="宋体" w:hint="eastAsia"/>
          <w:color w:val="000000"/>
          <w:kern w:val="0"/>
          <w:sz w:val="24"/>
        </w:rPr>
        <w:t>《上海证券报》和巨潮资讯网（www.cninfo.com.cn)，公司所有信息均以在上述指定媒体刊登的信息为准。</w:t>
      </w:r>
      <w:r w:rsidRPr="007626B7">
        <w:rPr>
          <w:rFonts w:ascii="宋体" w:cs="宋体"/>
          <w:color w:val="000000"/>
          <w:kern w:val="0"/>
          <w:sz w:val="24"/>
        </w:rPr>
        <w:t>敬请广大投资者理性投资，注意投资风险。</w:t>
      </w:r>
    </w:p>
    <w:p w14:paraId="36D8932A" w14:textId="77777777" w:rsidR="007C0958" w:rsidRPr="009C3952" w:rsidRDefault="007C0958" w:rsidP="007C0958">
      <w:pPr>
        <w:spacing w:line="360" w:lineRule="auto"/>
        <w:rPr>
          <w:color w:val="000000"/>
          <w:sz w:val="24"/>
          <w:szCs w:val="28"/>
        </w:rPr>
      </w:pPr>
    </w:p>
    <w:p w14:paraId="2D92802F" w14:textId="77777777" w:rsidR="007C0958" w:rsidRDefault="007C0958" w:rsidP="007C0958">
      <w:pPr>
        <w:spacing w:line="360" w:lineRule="auto"/>
        <w:ind w:firstLineChars="200" w:firstLine="480"/>
        <w:rPr>
          <w:rStyle w:val="fontstyle01"/>
          <w:rFonts w:hint="default"/>
          <w:sz w:val="24"/>
        </w:rPr>
      </w:pPr>
      <w:r w:rsidRPr="009C3952">
        <w:rPr>
          <w:rStyle w:val="fontstyle01"/>
          <w:rFonts w:hint="default"/>
          <w:sz w:val="24"/>
        </w:rPr>
        <w:t>特此公告。</w:t>
      </w:r>
    </w:p>
    <w:p w14:paraId="684C6151" w14:textId="77777777" w:rsidR="007C0958" w:rsidRDefault="007C0958" w:rsidP="007C0958">
      <w:pPr>
        <w:spacing w:line="360" w:lineRule="auto"/>
        <w:ind w:firstLineChars="200" w:firstLine="480"/>
        <w:rPr>
          <w:rStyle w:val="fontstyle01"/>
          <w:rFonts w:hint="default"/>
          <w:sz w:val="24"/>
        </w:rPr>
      </w:pPr>
    </w:p>
    <w:p w14:paraId="553E3CE3" w14:textId="77777777" w:rsidR="007C0958" w:rsidRPr="009C3952" w:rsidRDefault="007C0958" w:rsidP="007C0958">
      <w:pPr>
        <w:spacing w:line="360" w:lineRule="auto"/>
        <w:ind w:firstLineChars="200" w:firstLine="480"/>
        <w:jc w:val="right"/>
        <w:rPr>
          <w:color w:val="000000"/>
          <w:sz w:val="24"/>
          <w:szCs w:val="28"/>
        </w:rPr>
      </w:pPr>
      <w:r w:rsidRPr="009C3952">
        <w:rPr>
          <w:rStyle w:val="fontstyle01"/>
          <w:rFonts w:hint="default"/>
          <w:sz w:val="24"/>
        </w:rPr>
        <w:t>江苏中利集团股份有限公司董事会</w:t>
      </w:r>
    </w:p>
    <w:p w14:paraId="227E31AE" w14:textId="1BFF61C1" w:rsidR="00425037" w:rsidRPr="00E80C6D" w:rsidRDefault="007C0958" w:rsidP="00E80C6D">
      <w:pPr>
        <w:spacing w:line="360" w:lineRule="auto"/>
        <w:ind w:right="720" w:firstLineChars="200" w:firstLine="480"/>
        <w:jc w:val="right"/>
        <w:rPr>
          <w:rFonts w:ascii="宋体" w:hAnsi="宋体"/>
          <w:color w:val="000000"/>
          <w:sz w:val="24"/>
          <w:szCs w:val="28"/>
        </w:rPr>
      </w:pPr>
      <w:r w:rsidRPr="006F0D32">
        <w:rPr>
          <w:rStyle w:val="fontstyle01"/>
          <w:rFonts w:hint="default"/>
          <w:sz w:val="24"/>
        </w:rPr>
        <w:t>202</w:t>
      </w:r>
      <w:r w:rsidR="00632E19">
        <w:rPr>
          <w:rStyle w:val="fontstyle01"/>
          <w:rFonts w:hint="default"/>
          <w:sz w:val="24"/>
        </w:rPr>
        <w:t>5</w:t>
      </w:r>
      <w:r w:rsidRPr="006F0D32">
        <w:rPr>
          <w:rStyle w:val="fontstyle01"/>
          <w:rFonts w:hint="default"/>
          <w:sz w:val="24"/>
        </w:rPr>
        <w:t>年</w:t>
      </w:r>
      <w:r w:rsidR="00632E19">
        <w:rPr>
          <w:rStyle w:val="fontstyle01"/>
          <w:rFonts w:hint="default"/>
          <w:sz w:val="24"/>
        </w:rPr>
        <w:t>1</w:t>
      </w:r>
      <w:r w:rsidRPr="006F0D32">
        <w:rPr>
          <w:rStyle w:val="fontstyle01"/>
          <w:rFonts w:hint="default"/>
          <w:sz w:val="24"/>
        </w:rPr>
        <w:t>月</w:t>
      </w:r>
      <w:r w:rsidR="00E80C6D">
        <w:rPr>
          <w:rStyle w:val="fontstyle01"/>
          <w:rFonts w:hint="default"/>
          <w:sz w:val="24"/>
        </w:rPr>
        <w:t>7</w:t>
      </w:r>
      <w:r w:rsidRPr="006F0D32">
        <w:rPr>
          <w:rStyle w:val="fontstyle01"/>
          <w:rFonts w:hint="default"/>
          <w:sz w:val="24"/>
        </w:rPr>
        <w:t>日</w:t>
      </w:r>
    </w:p>
    <w:sectPr w:rsidR="00425037" w:rsidRPr="00E80C6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564DB" w14:textId="77777777" w:rsidR="007672F7" w:rsidRDefault="007672F7" w:rsidP="00365AAE">
      <w:r>
        <w:separator/>
      </w:r>
    </w:p>
  </w:endnote>
  <w:endnote w:type="continuationSeparator" w:id="0">
    <w:p w14:paraId="206D10CC" w14:textId="77777777" w:rsidR="007672F7" w:rsidRDefault="007672F7"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547228"/>
      <w:docPartObj>
        <w:docPartGallery w:val="Page Numbers (Bottom of Page)"/>
        <w:docPartUnique/>
      </w:docPartObj>
    </w:sdtPr>
    <w:sdtContent>
      <w:sdt>
        <w:sdtPr>
          <w:id w:val="1728636285"/>
          <w:docPartObj>
            <w:docPartGallery w:val="Page Numbers (Top of Page)"/>
            <w:docPartUnique/>
          </w:docPartObj>
        </w:sdtPr>
        <w:sdtContent>
          <w:p w14:paraId="500048BC" w14:textId="74DFA081"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02E26">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02E26">
              <w:rPr>
                <w:b/>
                <w:bCs/>
                <w:noProof/>
              </w:rPr>
              <w:t>3</w:t>
            </w:r>
            <w:r>
              <w:rPr>
                <w:b/>
                <w:bCs/>
                <w:sz w:val="24"/>
                <w:szCs w:val="24"/>
              </w:rPr>
              <w:fldChar w:fldCharType="end"/>
            </w:r>
          </w:p>
        </w:sdtContent>
      </w:sdt>
    </w:sdtContent>
  </w:sdt>
  <w:p w14:paraId="35F32CB7"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BB70" w14:textId="77777777" w:rsidR="007672F7" w:rsidRDefault="007672F7" w:rsidP="00365AAE">
      <w:r>
        <w:separator/>
      </w:r>
    </w:p>
  </w:footnote>
  <w:footnote w:type="continuationSeparator" w:id="0">
    <w:p w14:paraId="40E35207" w14:textId="77777777" w:rsidR="007672F7" w:rsidRDefault="007672F7"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E5B14BB"/>
    <w:multiLevelType w:val="hybridMultilevel"/>
    <w:tmpl w:val="12024D8A"/>
    <w:lvl w:ilvl="0" w:tplc="4F608E8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54575150">
    <w:abstractNumId w:val="3"/>
  </w:num>
  <w:num w:numId="2" w16cid:durableId="1303268942">
    <w:abstractNumId w:val="0"/>
  </w:num>
  <w:num w:numId="3" w16cid:durableId="807626123">
    <w:abstractNumId w:val="6"/>
  </w:num>
  <w:num w:numId="4" w16cid:durableId="408382192">
    <w:abstractNumId w:val="4"/>
  </w:num>
  <w:num w:numId="5" w16cid:durableId="1183057908">
    <w:abstractNumId w:val="2"/>
  </w:num>
  <w:num w:numId="6" w16cid:durableId="1926762019">
    <w:abstractNumId w:val="10"/>
  </w:num>
  <w:num w:numId="7" w16cid:durableId="1123158651">
    <w:abstractNumId w:val="5"/>
  </w:num>
  <w:num w:numId="8" w16cid:durableId="1604149193">
    <w:abstractNumId w:val="7"/>
  </w:num>
  <w:num w:numId="9" w16cid:durableId="174223986">
    <w:abstractNumId w:val="8"/>
  </w:num>
  <w:num w:numId="10" w16cid:durableId="1776512921">
    <w:abstractNumId w:val="1"/>
  </w:num>
  <w:num w:numId="11" w16cid:durableId="94597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81"/>
    <w:rsid w:val="000000B8"/>
    <w:rsid w:val="00001BDA"/>
    <w:rsid w:val="00002E26"/>
    <w:rsid w:val="00005240"/>
    <w:rsid w:val="000058E1"/>
    <w:rsid w:val="00010E22"/>
    <w:rsid w:val="00014B83"/>
    <w:rsid w:val="000174C1"/>
    <w:rsid w:val="00020E4F"/>
    <w:rsid w:val="0002302D"/>
    <w:rsid w:val="00023529"/>
    <w:rsid w:val="00023C9C"/>
    <w:rsid w:val="000250AB"/>
    <w:rsid w:val="000254F6"/>
    <w:rsid w:val="000261EE"/>
    <w:rsid w:val="00033094"/>
    <w:rsid w:val="000372E2"/>
    <w:rsid w:val="000405C2"/>
    <w:rsid w:val="000411F8"/>
    <w:rsid w:val="00041765"/>
    <w:rsid w:val="000432B0"/>
    <w:rsid w:val="00043372"/>
    <w:rsid w:val="000438F6"/>
    <w:rsid w:val="00043CD6"/>
    <w:rsid w:val="00044353"/>
    <w:rsid w:val="00044D3E"/>
    <w:rsid w:val="00050BD4"/>
    <w:rsid w:val="000614AA"/>
    <w:rsid w:val="0006315F"/>
    <w:rsid w:val="000654A2"/>
    <w:rsid w:val="00066BAD"/>
    <w:rsid w:val="00067B2A"/>
    <w:rsid w:val="00072545"/>
    <w:rsid w:val="00083194"/>
    <w:rsid w:val="000929B9"/>
    <w:rsid w:val="00093FBB"/>
    <w:rsid w:val="000947ED"/>
    <w:rsid w:val="00095DF1"/>
    <w:rsid w:val="00097E5B"/>
    <w:rsid w:val="000A04B1"/>
    <w:rsid w:val="000A5BC1"/>
    <w:rsid w:val="000B47FD"/>
    <w:rsid w:val="000B5F0F"/>
    <w:rsid w:val="000B7639"/>
    <w:rsid w:val="000C73AF"/>
    <w:rsid w:val="000D0196"/>
    <w:rsid w:val="000D1E26"/>
    <w:rsid w:val="000D2200"/>
    <w:rsid w:val="000D35F8"/>
    <w:rsid w:val="000D5EAA"/>
    <w:rsid w:val="000E2D7F"/>
    <w:rsid w:val="000E7534"/>
    <w:rsid w:val="000E78E9"/>
    <w:rsid w:val="000E7FE0"/>
    <w:rsid w:val="000F1686"/>
    <w:rsid w:val="000F4915"/>
    <w:rsid w:val="000F5D40"/>
    <w:rsid w:val="00100476"/>
    <w:rsid w:val="0010150A"/>
    <w:rsid w:val="00101544"/>
    <w:rsid w:val="00102F6F"/>
    <w:rsid w:val="001066FB"/>
    <w:rsid w:val="00112007"/>
    <w:rsid w:val="0011328F"/>
    <w:rsid w:val="00114288"/>
    <w:rsid w:val="0011477D"/>
    <w:rsid w:val="00117324"/>
    <w:rsid w:val="001173AD"/>
    <w:rsid w:val="001213B8"/>
    <w:rsid w:val="00123252"/>
    <w:rsid w:val="001247ED"/>
    <w:rsid w:val="001269E9"/>
    <w:rsid w:val="00131218"/>
    <w:rsid w:val="00132DDE"/>
    <w:rsid w:val="001344B4"/>
    <w:rsid w:val="00137C2A"/>
    <w:rsid w:val="00141FD8"/>
    <w:rsid w:val="00145A69"/>
    <w:rsid w:val="001517B9"/>
    <w:rsid w:val="00157A64"/>
    <w:rsid w:val="0016031C"/>
    <w:rsid w:val="00162C97"/>
    <w:rsid w:val="001669D2"/>
    <w:rsid w:val="00166DA7"/>
    <w:rsid w:val="0017049B"/>
    <w:rsid w:val="00174182"/>
    <w:rsid w:val="00177145"/>
    <w:rsid w:val="00177CF1"/>
    <w:rsid w:val="00180456"/>
    <w:rsid w:val="0018092F"/>
    <w:rsid w:val="001907FC"/>
    <w:rsid w:val="00191013"/>
    <w:rsid w:val="00192E2D"/>
    <w:rsid w:val="001942EC"/>
    <w:rsid w:val="001955B4"/>
    <w:rsid w:val="001A042B"/>
    <w:rsid w:val="001A1A4D"/>
    <w:rsid w:val="001A5068"/>
    <w:rsid w:val="001A5847"/>
    <w:rsid w:val="001A621A"/>
    <w:rsid w:val="001A717C"/>
    <w:rsid w:val="001B0808"/>
    <w:rsid w:val="001B24DD"/>
    <w:rsid w:val="001B29F6"/>
    <w:rsid w:val="001B2D7D"/>
    <w:rsid w:val="001B3622"/>
    <w:rsid w:val="001C05F7"/>
    <w:rsid w:val="001C33C8"/>
    <w:rsid w:val="001C374B"/>
    <w:rsid w:val="001C3B2A"/>
    <w:rsid w:val="001C42B0"/>
    <w:rsid w:val="001C4A23"/>
    <w:rsid w:val="001C4E84"/>
    <w:rsid w:val="001C62FC"/>
    <w:rsid w:val="001D135E"/>
    <w:rsid w:val="001D3541"/>
    <w:rsid w:val="001D5517"/>
    <w:rsid w:val="001D6E0E"/>
    <w:rsid w:val="001E61E3"/>
    <w:rsid w:val="001F2DA6"/>
    <w:rsid w:val="001F5123"/>
    <w:rsid w:val="00203417"/>
    <w:rsid w:val="00205B09"/>
    <w:rsid w:val="00207180"/>
    <w:rsid w:val="00207A9E"/>
    <w:rsid w:val="0021044B"/>
    <w:rsid w:val="00210A3D"/>
    <w:rsid w:val="00210D61"/>
    <w:rsid w:val="002122EE"/>
    <w:rsid w:val="002141C9"/>
    <w:rsid w:val="00214B6D"/>
    <w:rsid w:val="00215E0D"/>
    <w:rsid w:val="0022073F"/>
    <w:rsid w:val="00222329"/>
    <w:rsid w:val="00222CCD"/>
    <w:rsid w:val="00224D51"/>
    <w:rsid w:val="0023010E"/>
    <w:rsid w:val="002341F8"/>
    <w:rsid w:val="00235013"/>
    <w:rsid w:val="0023581E"/>
    <w:rsid w:val="00236248"/>
    <w:rsid w:val="00241F4E"/>
    <w:rsid w:val="00243B5B"/>
    <w:rsid w:val="00245A2F"/>
    <w:rsid w:val="00253475"/>
    <w:rsid w:val="0025353D"/>
    <w:rsid w:val="002554B9"/>
    <w:rsid w:val="00255670"/>
    <w:rsid w:val="00260B25"/>
    <w:rsid w:val="00261F6B"/>
    <w:rsid w:val="00266CEE"/>
    <w:rsid w:val="002675C8"/>
    <w:rsid w:val="00267AE0"/>
    <w:rsid w:val="002720F5"/>
    <w:rsid w:val="002760FE"/>
    <w:rsid w:val="0027799D"/>
    <w:rsid w:val="00277ACC"/>
    <w:rsid w:val="00283B05"/>
    <w:rsid w:val="00284D97"/>
    <w:rsid w:val="00285320"/>
    <w:rsid w:val="002904A8"/>
    <w:rsid w:val="002919A4"/>
    <w:rsid w:val="0029254F"/>
    <w:rsid w:val="00295FDD"/>
    <w:rsid w:val="00296343"/>
    <w:rsid w:val="002A31F4"/>
    <w:rsid w:val="002A41D4"/>
    <w:rsid w:val="002A5EED"/>
    <w:rsid w:val="002A61A3"/>
    <w:rsid w:val="002A6FCF"/>
    <w:rsid w:val="002B048B"/>
    <w:rsid w:val="002B07A4"/>
    <w:rsid w:val="002B266E"/>
    <w:rsid w:val="002B66AF"/>
    <w:rsid w:val="002B77DC"/>
    <w:rsid w:val="002C1172"/>
    <w:rsid w:val="002C4148"/>
    <w:rsid w:val="002C4E8E"/>
    <w:rsid w:val="002D0999"/>
    <w:rsid w:val="002D2938"/>
    <w:rsid w:val="002D3113"/>
    <w:rsid w:val="002D49AE"/>
    <w:rsid w:val="002D59C0"/>
    <w:rsid w:val="002E281B"/>
    <w:rsid w:val="002F0E59"/>
    <w:rsid w:val="002F5D13"/>
    <w:rsid w:val="00302232"/>
    <w:rsid w:val="00304929"/>
    <w:rsid w:val="003076FC"/>
    <w:rsid w:val="00310456"/>
    <w:rsid w:val="003126D9"/>
    <w:rsid w:val="003159E9"/>
    <w:rsid w:val="003209DA"/>
    <w:rsid w:val="00325628"/>
    <w:rsid w:val="00326452"/>
    <w:rsid w:val="00326F85"/>
    <w:rsid w:val="00331F45"/>
    <w:rsid w:val="003338F8"/>
    <w:rsid w:val="0034215D"/>
    <w:rsid w:val="00344BE5"/>
    <w:rsid w:val="003467AA"/>
    <w:rsid w:val="00354647"/>
    <w:rsid w:val="00355764"/>
    <w:rsid w:val="00357F7B"/>
    <w:rsid w:val="003612B2"/>
    <w:rsid w:val="003631C1"/>
    <w:rsid w:val="0036428C"/>
    <w:rsid w:val="00365AAE"/>
    <w:rsid w:val="00371B5E"/>
    <w:rsid w:val="0037301E"/>
    <w:rsid w:val="0037486A"/>
    <w:rsid w:val="00376E51"/>
    <w:rsid w:val="00380763"/>
    <w:rsid w:val="003863B3"/>
    <w:rsid w:val="003872DB"/>
    <w:rsid w:val="003A2504"/>
    <w:rsid w:val="003A2CA7"/>
    <w:rsid w:val="003A3252"/>
    <w:rsid w:val="003A37F1"/>
    <w:rsid w:val="003A3D0D"/>
    <w:rsid w:val="003A42E0"/>
    <w:rsid w:val="003B0F9A"/>
    <w:rsid w:val="003B1756"/>
    <w:rsid w:val="003B1946"/>
    <w:rsid w:val="003B1A6E"/>
    <w:rsid w:val="003B544D"/>
    <w:rsid w:val="003B5DB4"/>
    <w:rsid w:val="003B5E59"/>
    <w:rsid w:val="003B7D33"/>
    <w:rsid w:val="003C1BF6"/>
    <w:rsid w:val="003C27EF"/>
    <w:rsid w:val="003D073D"/>
    <w:rsid w:val="003D245A"/>
    <w:rsid w:val="003D7E78"/>
    <w:rsid w:val="003E04C3"/>
    <w:rsid w:val="003E12C3"/>
    <w:rsid w:val="003E1556"/>
    <w:rsid w:val="003E1BD1"/>
    <w:rsid w:val="003E4AA5"/>
    <w:rsid w:val="003E54CD"/>
    <w:rsid w:val="003E5D48"/>
    <w:rsid w:val="003F0E33"/>
    <w:rsid w:val="003F20BA"/>
    <w:rsid w:val="003F2578"/>
    <w:rsid w:val="003F514C"/>
    <w:rsid w:val="003F5E00"/>
    <w:rsid w:val="003F5FDE"/>
    <w:rsid w:val="003F6060"/>
    <w:rsid w:val="003F6882"/>
    <w:rsid w:val="003F689A"/>
    <w:rsid w:val="003F7212"/>
    <w:rsid w:val="00406A0D"/>
    <w:rsid w:val="00406CE2"/>
    <w:rsid w:val="004117E2"/>
    <w:rsid w:val="004146D6"/>
    <w:rsid w:val="004146F9"/>
    <w:rsid w:val="00415A16"/>
    <w:rsid w:val="004202B2"/>
    <w:rsid w:val="004212A7"/>
    <w:rsid w:val="00421464"/>
    <w:rsid w:val="00421674"/>
    <w:rsid w:val="00422C06"/>
    <w:rsid w:val="00425037"/>
    <w:rsid w:val="00427335"/>
    <w:rsid w:val="00430DF2"/>
    <w:rsid w:val="00433EED"/>
    <w:rsid w:val="00435630"/>
    <w:rsid w:val="004365D2"/>
    <w:rsid w:val="00442C16"/>
    <w:rsid w:val="00444D16"/>
    <w:rsid w:val="00445034"/>
    <w:rsid w:val="004460DA"/>
    <w:rsid w:val="00454A60"/>
    <w:rsid w:val="004557F3"/>
    <w:rsid w:val="00455DA6"/>
    <w:rsid w:val="00460B84"/>
    <w:rsid w:val="00464584"/>
    <w:rsid w:val="004658F6"/>
    <w:rsid w:val="00465F50"/>
    <w:rsid w:val="004662F7"/>
    <w:rsid w:val="00467DB6"/>
    <w:rsid w:val="00471C18"/>
    <w:rsid w:val="00474A6B"/>
    <w:rsid w:val="004762C3"/>
    <w:rsid w:val="0048029E"/>
    <w:rsid w:val="0048465D"/>
    <w:rsid w:val="004854F1"/>
    <w:rsid w:val="00485F14"/>
    <w:rsid w:val="0048600A"/>
    <w:rsid w:val="00490D32"/>
    <w:rsid w:val="00492D10"/>
    <w:rsid w:val="004A13A2"/>
    <w:rsid w:val="004A5C11"/>
    <w:rsid w:val="004A606E"/>
    <w:rsid w:val="004A72AC"/>
    <w:rsid w:val="004B00F1"/>
    <w:rsid w:val="004B37CD"/>
    <w:rsid w:val="004B52AF"/>
    <w:rsid w:val="004B792E"/>
    <w:rsid w:val="004C0C2D"/>
    <w:rsid w:val="004C1B6D"/>
    <w:rsid w:val="004C26EE"/>
    <w:rsid w:val="004C4EAA"/>
    <w:rsid w:val="004C66D9"/>
    <w:rsid w:val="004C7109"/>
    <w:rsid w:val="004C7424"/>
    <w:rsid w:val="004D0091"/>
    <w:rsid w:val="004D41D3"/>
    <w:rsid w:val="004E175B"/>
    <w:rsid w:val="004E23F6"/>
    <w:rsid w:val="004E2F28"/>
    <w:rsid w:val="004E37C8"/>
    <w:rsid w:val="004F1C66"/>
    <w:rsid w:val="004F4894"/>
    <w:rsid w:val="004F5C8A"/>
    <w:rsid w:val="004F7E42"/>
    <w:rsid w:val="00500E6C"/>
    <w:rsid w:val="00501215"/>
    <w:rsid w:val="0050135F"/>
    <w:rsid w:val="00501BB8"/>
    <w:rsid w:val="00504AFE"/>
    <w:rsid w:val="005053B3"/>
    <w:rsid w:val="00506BC8"/>
    <w:rsid w:val="00511726"/>
    <w:rsid w:val="005125CF"/>
    <w:rsid w:val="005135D4"/>
    <w:rsid w:val="005152E4"/>
    <w:rsid w:val="00517A5D"/>
    <w:rsid w:val="00521719"/>
    <w:rsid w:val="00521F63"/>
    <w:rsid w:val="00527F7D"/>
    <w:rsid w:val="00530168"/>
    <w:rsid w:val="00532257"/>
    <w:rsid w:val="005331ED"/>
    <w:rsid w:val="00535467"/>
    <w:rsid w:val="005371D6"/>
    <w:rsid w:val="005401F3"/>
    <w:rsid w:val="00541175"/>
    <w:rsid w:val="0054160F"/>
    <w:rsid w:val="00541F8A"/>
    <w:rsid w:val="0054224F"/>
    <w:rsid w:val="0054268A"/>
    <w:rsid w:val="0054295E"/>
    <w:rsid w:val="00542D7E"/>
    <w:rsid w:val="00544D87"/>
    <w:rsid w:val="0054568F"/>
    <w:rsid w:val="00545A92"/>
    <w:rsid w:val="005464EF"/>
    <w:rsid w:val="00546F12"/>
    <w:rsid w:val="00550849"/>
    <w:rsid w:val="005524D1"/>
    <w:rsid w:val="00553338"/>
    <w:rsid w:val="00554755"/>
    <w:rsid w:val="005564A8"/>
    <w:rsid w:val="005605F3"/>
    <w:rsid w:val="00567F4C"/>
    <w:rsid w:val="00570503"/>
    <w:rsid w:val="005753C4"/>
    <w:rsid w:val="00576526"/>
    <w:rsid w:val="005773C9"/>
    <w:rsid w:val="005802CC"/>
    <w:rsid w:val="0058042C"/>
    <w:rsid w:val="005824BB"/>
    <w:rsid w:val="005830BE"/>
    <w:rsid w:val="00583688"/>
    <w:rsid w:val="0058481F"/>
    <w:rsid w:val="00586012"/>
    <w:rsid w:val="00586BBC"/>
    <w:rsid w:val="00586C20"/>
    <w:rsid w:val="005922DC"/>
    <w:rsid w:val="00593377"/>
    <w:rsid w:val="005933BD"/>
    <w:rsid w:val="005A028A"/>
    <w:rsid w:val="005A1F32"/>
    <w:rsid w:val="005A28BE"/>
    <w:rsid w:val="005A2FEE"/>
    <w:rsid w:val="005B0B7E"/>
    <w:rsid w:val="005B4702"/>
    <w:rsid w:val="005B6227"/>
    <w:rsid w:val="005B7A27"/>
    <w:rsid w:val="005C01F5"/>
    <w:rsid w:val="005C2693"/>
    <w:rsid w:val="005C3713"/>
    <w:rsid w:val="005C40A7"/>
    <w:rsid w:val="005C40DC"/>
    <w:rsid w:val="005C71C1"/>
    <w:rsid w:val="005C778E"/>
    <w:rsid w:val="005D2178"/>
    <w:rsid w:val="005D3EC3"/>
    <w:rsid w:val="005E039A"/>
    <w:rsid w:val="005E1A34"/>
    <w:rsid w:val="005E22BB"/>
    <w:rsid w:val="005E3506"/>
    <w:rsid w:val="005E7807"/>
    <w:rsid w:val="005E79A8"/>
    <w:rsid w:val="005F2CE1"/>
    <w:rsid w:val="005F4384"/>
    <w:rsid w:val="005F4AB8"/>
    <w:rsid w:val="005F5FCB"/>
    <w:rsid w:val="005F6902"/>
    <w:rsid w:val="00611613"/>
    <w:rsid w:val="00612F9D"/>
    <w:rsid w:val="00613E63"/>
    <w:rsid w:val="00614D03"/>
    <w:rsid w:val="006156C8"/>
    <w:rsid w:val="00621250"/>
    <w:rsid w:val="0062413F"/>
    <w:rsid w:val="00624A17"/>
    <w:rsid w:val="00626288"/>
    <w:rsid w:val="00632E19"/>
    <w:rsid w:val="00633034"/>
    <w:rsid w:val="0063329E"/>
    <w:rsid w:val="00634469"/>
    <w:rsid w:val="006348B8"/>
    <w:rsid w:val="00640BAF"/>
    <w:rsid w:val="00641D42"/>
    <w:rsid w:val="0064318D"/>
    <w:rsid w:val="00643B05"/>
    <w:rsid w:val="00644570"/>
    <w:rsid w:val="006451DF"/>
    <w:rsid w:val="006465C8"/>
    <w:rsid w:val="00651E1E"/>
    <w:rsid w:val="0065465D"/>
    <w:rsid w:val="00654DF0"/>
    <w:rsid w:val="00661B5D"/>
    <w:rsid w:val="006621E1"/>
    <w:rsid w:val="00662574"/>
    <w:rsid w:val="00665006"/>
    <w:rsid w:val="006652F8"/>
    <w:rsid w:val="00665EE3"/>
    <w:rsid w:val="0067120A"/>
    <w:rsid w:val="00675449"/>
    <w:rsid w:val="00675979"/>
    <w:rsid w:val="00677A37"/>
    <w:rsid w:val="0068027C"/>
    <w:rsid w:val="006822D0"/>
    <w:rsid w:val="00685A84"/>
    <w:rsid w:val="00691B4D"/>
    <w:rsid w:val="00691D19"/>
    <w:rsid w:val="006944DC"/>
    <w:rsid w:val="00695505"/>
    <w:rsid w:val="006A1BB6"/>
    <w:rsid w:val="006A491B"/>
    <w:rsid w:val="006A5272"/>
    <w:rsid w:val="006A6C87"/>
    <w:rsid w:val="006B2FB9"/>
    <w:rsid w:val="006B5553"/>
    <w:rsid w:val="006B749D"/>
    <w:rsid w:val="006C1AC3"/>
    <w:rsid w:val="006C2604"/>
    <w:rsid w:val="006C269E"/>
    <w:rsid w:val="006C2A8D"/>
    <w:rsid w:val="006C2B42"/>
    <w:rsid w:val="006C4425"/>
    <w:rsid w:val="006C49AA"/>
    <w:rsid w:val="006C6595"/>
    <w:rsid w:val="006D094F"/>
    <w:rsid w:val="006D099A"/>
    <w:rsid w:val="006D0E0C"/>
    <w:rsid w:val="006D0EA4"/>
    <w:rsid w:val="006D1604"/>
    <w:rsid w:val="006D25B5"/>
    <w:rsid w:val="006D39EF"/>
    <w:rsid w:val="006D4799"/>
    <w:rsid w:val="006D4A4F"/>
    <w:rsid w:val="006D6469"/>
    <w:rsid w:val="006D750F"/>
    <w:rsid w:val="006E0DAB"/>
    <w:rsid w:val="006E25E5"/>
    <w:rsid w:val="006F173C"/>
    <w:rsid w:val="006F49DD"/>
    <w:rsid w:val="006F5AD2"/>
    <w:rsid w:val="006F5D23"/>
    <w:rsid w:val="007004C1"/>
    <w:rsid w:val="00702905"/>
    <w:rsid w:val="00703E0F"/>
    <w:rsid w:val="007047B6"/>
    <w:rsid w:val="007059F7"/>
    <w:rsid w:val="00712104"/>
    <w:rsid w:val="007123B9"/>
    <w:rsid w:val="00713A68"/>
    <w:rsid w:val="00713EC9"/>
    <w:rsid w:val="00714C5F"/>
    <w:rsid w:val="00716150"/>
    <w:rsid w:val="007161E1"/>
    <w:rsid w:val="00716EA4"/>
    <w:rsid w:val="00721CA0"/>
    <w:rsid w:val="00722D1B"/>
    <w:rsid w:val="0072630A"/>
    <w:rsid w:val="00726544"/>
    <w:rsid w:val="007265CF"/>
    <w:rsid w:val="00726997"/>
    <w:rsid w:val="00732D56"/>
    <w:rsid w:val="00733004"/>
    <w:rsid w:val="0073559F"/>
    <w:rsid w:val="00735A7F"/>
    <w:rsid w:val="00736C83"/>
    <w:rsid w:val="007411D5"/>
    <w:rsid w:val="007413E2"/>
    <w:rsid w:val="00742377"/>
    <w:rsid w:val="007440CB"/>
    <w:rsid w:val="00746955"/>
    <w:rsid w:val="0075521A"/>
    <w:rsid w:val="00756AAB"/>
    <w:rsid w:val="00757C89"/>
    <w:rsid w:val="007612C5"/>
    <w:rsid w:val="0076630D"/>
    <w:rsid w:val="00766BB2"/>
    <w:rsid w:val="00766FF6"/>
    <w:rsid w:val="007672F7"/>
    <w:rsid w:val="007679DD"/>
    <w:rsid w:val="0077387C"/>
    <w:rsid w:val="00774073"/>
    <w:rsid w:val="00777F49"/>
    <w:rsid w:val="00783D41"/>
    <w:rsid w:val="00784784"/>
    <w:rsid w:val="0078729C"/>
    <w:rsid w:val="00790360"/>
    <w:rsid w:val="00795685"/>
    <w:rsid w:val="007A2A11"/>
    <w:rsid w:val="007B3B89"/>
    <w:rsid w:val="007B4569"/>
    <w:rsid w:val="007C0958"/>
    <w:rsid w:val="007C2154"/>
    <w:rsid w:val="007C267F"/>
    <w:rsid w:val="007C5AE7"/>
    <w:rsid w:val="007C5E99"/>
    <w:rsid w:val="007C6919"/>
    <w:rsid w:val="007D1729"/>
    <w:rsid w:val="007D27B3"/>
    <w:rsid w:val="007D5692"/>
    <w:rsid w:val="007E0441"/>
    <w:rsid w:val="007E476E"/>
    <w:rsid w:val="007E6771"/>
    <w:rsid w:val="007E73B6"/>
    <w:rsid w:val="007F14FD"/>
    <w:rsid w:val="007F2D95"/>
    <w:rsid w:val="007F6F85"/>
    <w:rsid w:val="007F7F49"/>
    <w:rsid w:val="00800A29"/>
    <w:rsid w:val="008043E7"/>
    <w:rsid w:val="0080660F"/>
    <w:rsid w:val="008077C7"/>
    <w:rsid w:val="00811230"/>
    <w:rsid w:val="00811575"/>
    <w:rsid w:val="00811EAE"/>
    <w:rsid w:val="00813893"/>
    <w:rsid w:val="00814414"/>
    <w:rsid w:val="008153EC"/>
    <w:rsid w:val="00822AC4"/>
    <w:rsid w:val="00822D18"/>
    <w:rsid w:val="00823E1C"/>
    <w:rsid w:val="00832E39"/>
    <w:rsid w:val="00834053"/>
    <w:rsid w:val="0083424D"/>
    <w:rsid w:val="008342AD"/>
    <w:rsid w:val="0083618C"/>
    <w:rsid w:val="00837782"/>
    <w:rsid w:val="0084290B"/>
    <w:rsid w:val="008453A1"/>
    <w:rsid w:val="00847BBD"/>
    <w:rsid w:val="00854B77"/>
    <w:rsid w:val="00854E78"/>
    <w:rsid w:val="00855030"/>
    <w:rsid w:val="00855C6E"/>
    <w:rsid w:val="00857FCC"/>
    <w:rsid w:val="00860484"/>
    <w:rsid w:val="0087270A"/>
    <w:rsid w:val="0087428D"/>
    <w:rsid w:val="0087668A"/>
    <w:rsid w:val="00877976"/>
    <w:rsid w:val="00880391"/>
    <w:rsid w:val="0088321C"/>
    <w:rsid w:val="0088328C"/>
    <w:rsid w:val="00883BD0"/>
    <w:rsid w:val="0088479E"/>
    <w:rsid w:val="00885EB1"/>
    <w:rsid w:val="0089109C"/>
    <w:rsid w:val="00893151"/>
    <w:rsid w:val="0089676D"/>
    <w:rsid w:val="008A30E5"/>
    <w:rsid w:val="008A3864"/>
    <w:rsid w:val="008A61A7"/>
    <w:rsid w:val="008A79C5"/>
    <w:rsid w:val="008B33FA"/>
    <w:rsid w:val="008B55EF"/>
    <w:rsid w:val="008B7B0C"/>
    <w:rsid w:val="008C167A"/>
    <w:rsid w:val="008C17B5"/>
    <w:rsid w:val="008C1C87"/>
    <w:rsid w:val="008C320D"/>
    <w:rsid w:val="008C3B07"/>
    <w:rsid w:val="008C5D19"/>
    <w:rsid w:val="008C756F"/>
    <w:rsid w:val="008D1D9F"/>
    <w:rsid w:val="008D1FAE"/>
    <w:rsid w:val="008D278A"/>
    <w:rsid w:val="008D2909"/>
    <w:rsid w:val="008D682B"/>
    <w:rsid w:val="008D6E9A"/>
    <w:rsid w:val="008E14B6"/>
    <w:rsid w:val="008E299F"/>
    <w:rsid w:val="008E2ED4"/>
    <w:rsid w:val="008E3F8B"/>
    <w:rsid w:val="008E4304"/>
    <w:rsid w:val="008E436B"/>
    <w:rsid w:val="008E71EC"/>
    <w:rsid w:val="008F0903"/>
    <w:rsid w:val="008F1FFB"/>
    <w:rsid w:val="008F5878"/>
    <w:rsid w:val="00900788"/>
    <w:rsid w:val="009112FF"/>
    <w:rsid w:val="009124B8"/>
    <w:rsid w:val="00912FF0"/>
    <w:rsid w:val="00914B3D"/>
    <w:rsid w:val="00915875"/>
    <w:rsid w:val="00917B5C"/>
    <w:rsid w:val="0092266B"/>
    <w:rsid w:val="0092372C"/>
    <w:rsid w:val="00927B28"/>
    <w:rsid w:val="00930878"/>
    <w:rsid w:val="00932D42"/>
    <w:rsid w:val="009429B1"/>
    <w:rsid w:val="0094443D"/>
    <w:rsid w:val="00946B3E"/>
    <w:rsid w:val="009533E2"/>
    <w:rsid w:val="00956697"/>
    <w:rsid w:val="00960435"/>
    <w:rsid w:val="00960E07"/>
    <w:rsid w:val="00961C80"/>
    <w:rsid w:val="00962DDD"/>
    <w:rsid w:val="00963592"/>
    <w:rsid w:val="00972A04"/>
    <w:rsid w:val="0097646A"/>
    <w:rsid w:val="00977E68"/>
    <w:rsid w:val="00980DA4"/>
    <w:rsid w:val="00982767"/>
    <w:rsid w:val="009839D8"/>
    <w:rsid w:val="00985CB4"/>
    <w:rsid w:val="00986A8D"/>
    <w:rsid w:val="00991525"/>
    <w:rsid w:val="00997B68"/>
    <w:rsid w:val="009A38E4"/>
    <w:rsid w:val="009A5878"/>
    <w:rsid w:val="009B0F64"/>
    <w:rsid w:val="009B1370"/>
    <w:rsid w:val="009B5615"/>
    <w:rsid w:val="009C08DE"/>
    <w:rsid w:val="009C190B"/>
    <w:rsid w:val="009C319E"/>
    <w:rsid w:val="009C63AA"/>
    <w:rsid w:val="009C651F"/>
    <w:rsid w:val="009C7497"/>
    <w:rsid w:val="009D1786"/>
    <w:rsid w:val="009D33B5"/>
    <w:rsid w:val="009D4204"/>
    <w:rsid w:val="009D52B6"/>
    <w:rsid w:val="009D7CB9"/>
    <w:rsid w:val="009E2A54"/>
    <w:rsid w:val="009E3430"/>
    <w:rsid w:val="009E55A2"/>
    <w:rsid w:val="009F27A5"/>
    <w:rsid w:val="009F365C"/>
    <w:rsid w:val="009F529B"/>
    <w:rsid w:val="009F766D"/>
    <w:rsid w:val="00A01350"/>
    <w:rsid w:val="00A03A0F"/>
    <w:rsid w:val="00A04DD6"/>
    <w:rsid w:val="00A059AE"/>
    <w:rsid w:val="00A10877"/>
    <w:rsid w:val="00A1121F"/>
    <w:rsid w:val="00A12527"/>
    <w:rsid w:val="00A127E4"/>
    <w:rsid w:val="00A12A8E"/>
    <w:rsid w:val="00A1534C"/>
    <w:rsid w:val="00A15712"/>
    <w:rsid w:val="00A172D1"/>
    <w:rsid w:val="00A21EB1"/>
    <w:rsid w:val="00A24BE8"/>
    <w:rsid w:val="00A25B76"/>
    <w:rsid w:val="00A26F28"/>
    <w:rsid w:val="00A27186"/>
    <w:rsid w:val="00A317A6"/>
    <w:rsid w:val="00A34AA7"/>
    <w:rsid w:val="00A35094"/>
    <w:rsid w:val="00A3548C"/>
    <w:rsid w:val="00A37A13"/>
    <w:rsid w:val="00A40BDD"/>
    <w:rsid w:val="00A43608"/>
    <w:rsid w:val="00A47DCA"/>
    <w:rsid w:val="00A535FC"/>
    <w:rsid w:val="00A572C7"/>
    <w:rsid w:val="00A60865"/>
    <w:rsid w:val="00A626B8"/>
    <w:rsid w:val="00A64D80"/>
    <w:rsid w:val="00A65147"/>
    <w:rsid w:val="00A67636"/>
    <w:rsid w:val="00A67DC4"/>
    <w:rsid w:val="00A70198"/>
    <w:rsid w:val="00A70C45"/>
    <w:rsid w:val="00A77FE5"/>
    <w:rsid w:val="00A83D66"/>
    <w:rsid w:val="00A86841"/>
    <w:rsid w:val="00A86A09"/>
    <w:rsid w:val="00A86EA9"/>
    <w:rsid w:val="00A90134"/>
    <w:rsid w:val="00A91A38"/>
    <w:rsid w:val="00A92301"/>
    <w:rsid w:val="00A94669"/>
    <w:rsid w:val="00A96169"/>
    <w:rsid w:val="00A962B6"/>
    <w:rsid w:val="00A978B6"/>
    <w:rsid w:val="00A979BD"/>
    <w:rsid w:val="00AA0476"/>
    <w:rsid w:val="00AA3065"/>
    <w:rsid w:val="00AA3FEB"/>
    <w:rsid w:val="00AA4004"/>
    <w:rsid w:val="00AA6E8A"/>
    <w:rsid w:val="00AB029A"/>
    <w:rsid w:val="00AB37C7"/>
    <w:rsid w:val="00AB41D0"/>
    <w:rsid w:val="00AB487A"/>
    <w:rsid w:val="00AB4F4C"/>
    <w:rsid w:val="00AB5ECB"/>
    <w:rsid w:val="00AB7C33"/>
    <w:rsid w:val="00AC5BB8"/>
    <w:rsid w:val="00AD137F"/>
    <w:rsid w:val="00AD21DA"/>
    <w:rsid w:val="00AD39A9"/>
    <w:rsid w:val="00AD4191"/>
    <w:rsid w:val="00AD45A6"/>
    <w:rsid w:val="00AD6E9E"/>
    <w:rsid w:val="00AE4893"/>
    <w:rsid w:val="00AE52E2"/>
    <w:rsid w:val="00AE642A"/>
    <w:rsid w:val="00AF028F"/>
    <w:rsid w:val="00AF0484"/>
    <w:rsid w:val="00AF45BC"/>
    <w:rsid w:val="00AF46C5"/>
    <w:rsid w:val="00AF6EC1"/>
    <w:rsid w:val="00B03B14"/>
    <w:rsid w:val="00B05D74"/>
    <w:rsid w:val="00B06D72"/>
    <w:rsid w:val="00B074C2"/>
    <w:rsid w:val="00B102D2"/>
    <w:rsid w:val="00B120F9"/>
    <w:rsid w:val="00B1360E"/>
    <w:rsid w:val="00B143DB"/>
    <w:rsid w:val="00B14DD8"/>
    <w:rsid w:val="00B156BA"/>
    <w:rsid w:val="00B2171D"/>
    <w:rsid w:val="00B22672"/>
    <w:rsid w:val="00B22E87"/>
    <w:rsid w:val="00B276E3"/>
    <w:rsid w:val="00B27A88"/>
    <w:rsid w:val="00B30A09"/>
    <w:rsid w:val="00B30C3D"/>
    <w:rsid w:val="00B30E06"/>
    <w:rsid w:val="00B33B8E"/>
    <w:rsid w:val="00B346F8"/>
    <w:rsid w:val="00B36780"/>
    <w:rsid w:val="00B370DD"/>
    <w:rsid w:val="00B37708"/>
    <w:rsid w:val="00B40CA1"/>
    <w:rsid w:val="00B42808"/>
    <w:rsid w:val="00B46D80"/>
    <w:rsid w:val="00B54C73"/>
    <w:rsid w:val="00B5539B"/>
    <w:rsid w:val="00B6168F"/>
    <w:rsid w:val="00B6231B"/>
    <w:rsid w:val="00B627E5"/>
    <w:rsid w:val="00B65549"/>
    <w:rsid w:val="00B716EF"/>
    <w:rsid w:val="00B71814"/>
    <w:rsid w:val="00B728EA"/>
    <w:rsid w:val="00B736FD"/>
    <w:rsid w:val="00B77DBB"/>
    <w:rsid w:val="00B8176E"/>
    <w:rsid w:val="00B864F9"/>
    <w:rsid w:val="00B911F6"/>
    <w:rsid w:val="00B91DBC"/>
    <w:rsid w:val="00B93069"/>
    <w:rsid w:val="00B94C58"/>
    <w:rsid w:val="00BA352C"/>
    <w:rsid w:val="00BA3F4B"/>
    <w:rsid w:val="00BA5FD2"/>
    <w:rsid w:val="00BA7A2E"/>
    <w:rsid w:val="00BA7D2C"/>
    <w:rsid w:val="00BB10EA"/>
    <w:rsid w:val="00BB169F"/>
    <w:rsid w:val="00BB4D28"/>
    <w:rsid w:val="00BC0112"/>
    <w:rsid w:val="00BC1433"/>
    <w:rsid w:val="00BC53B6"/>
    <w:rsid w:val="00BC59CA"/>
    <w:rsid w:val="00BC7331"/>
    <w:rsid w:val="00BD027E"/>
    <w:rsid w:val="00BD0902"/>
    <w:rsid w:val="00BD1257"/>
    <w:rsid w:val="00BD2205"/>
    <w:rsid w:val="00BD5559"/>
    <w:rsid w:val="00BD5A99"/>
    <w:rsid w:val="00BD70F4"/>
    <w:rsid w:val="00BD71E3"/>
    <w:rsid w:val="00BE2D77"/>
    <w:rsid w:val="00BE3868"/>
    <w:rsid w:val="00BE3C34"/>
    <w:rsid w:val="00BE73FF"/>
    <w:rsid w:val="00BF0193"/>
    <w:rsid w:val="00BF36C3"/>
    <w:rsid w:val="00BF4D0E"/>
    <w:rsid w:val="00BF7989"/>
    <w:rsid w:val="00C027CB"/>
    <w:rsid w:val="00C049C3"/>
    <w:rsid w:val="00C052CE"/>
    <w:rsid w:val="00C05D55"/>
    <w:rsid w:val="00C06AAE"/>
    <w:rsid w:val="00C07FCF"/>
    <w:rsid w:val="00C1525C"/>
    <w:rsid w:val="00C17FDE"/>
    <w:rsid w:val="00C20BF0"/>
    <w:rsid w:val="00C22A25"/>
    <w:rsid w:val="00C22AFF"/>
    <w:rsid w:val="00C24329"/>
    <w:rsid w:val="00C2715D"/>
    <w:rsid w:val="00C30580"/>
    <w:rsid w:val="00C362AB"/>
    <w:rsid w:val="00C36EDF"/>
    <w:rsid w:val="00C371D5"/>
    <w:rsid w:val="00C4018B"/>
    <w:rsid w:val="00C40435"/>
    <w:rsid w:val="00C40984"/>
    <w:rsid w:val="00C44873"/>
    <w:rsid w:val="00C47AAF"/>
    <w:rsid w:val="00C51A83"/>
    <w:rsid w:val="00C51D1E"/>
    <w:rsid w:val="00C57C13"/>
    <w:rsid w:val="00C63AD8"/>
    <w:rsid w:val="00C65CBB"/>
    <w:rsid w:val="00C66BB8"/>
    <w:rsid w:val="00C67A25"/>
    <w:rsid w:val="00C7036A"/>
    <w:rsid w:val="00C74349"/>
    <w:rsid w:val="00C74ADE"/>
    <w:rsid w:val="00C76B1B"/>
    <w:rsid w:val="00C801DE"/>
    <w:rsid w:val="00C809D6"/>
    <w:rsid w:val="00C877C7"/>
    <w:rsid w:val="00C90AA7"/>
    <w:rsid w:val="00C9288B"/>
    <w:rsid w:val="00C92C00"/>
    <w:rsid w:val="00C94B75"/>
    <w:rsid w:val="00C9574E"/>
    <w:rsid w:val="00C972AE"/>
    <w:rsid w:val="00C97C86"/>
    <w:rsid w:val="00CA4546"/>
    <w:rsid w:val="00CA4E7C"/>
    <w:rsid w:val="00CA5609"/>
    <w:rsid w:val="00CB18A9"/>
    <w:rsid w:val="00CB2133"/>
    <w:rsid w:val="00CB288A"/>
    <w:rsid w:val="00CB5978"/>
    <w:rsid w:val="00CB65AF"/>
    <w:rsid w:val="00CB74F3"/>
    <w:rsid w:val="00CC0727"/>
    <w:rsid w:val="00CC2D16"/>
    <w:rsid w:val="00CC431D"/>
    <w:rsid w:val="00CD0508"/>
    <w:rsid w:val="00CD7B0B"/>
    <w:rsid w:val="00CE04D0"/>
    <w:rsid w:val="00CF5272"/>
    <w:rsid w:val="00CF579A"/>
    <w:rsid w:val="00CF6F09"/>
    <w:rsid w:val="00D02537"/>
    <w:rsid w:val="00D02DBD"/>
    <w:rsid w:val="00D07290"/>
    <w:rsid w:val="00D10C3B"/>
    <w:rsid w:val="00D123A9"/>
    <w:rsid w:val="00D156B9"/>
    <w:rsid w:val="00D15C68"/>
    <w:rsid w:val="00D23828"/>
    <w:rsid w:val="00D24607"/>
    <w:rsid w:val="00D264E9"/>
    <w:rsid w:val="00D27499"/>
    <w:rsid w:val="00D31ABD"/>
    <w:rsid w:val="00D33F6B"/>
    <w:rsid w:val="00D35DD6"/>
    <w:rsid w:val="00D37759"/>
    <w:rsid w:val="00D5057A"/>
    <w:rsid w:val="00D54350"/>
    <w:rsid w:val="00D544B1"/>
    <w:rsid w:val="00D60DB9"/>
    <w:rsid w:val="00D60F4A"/>
    <w:rsid w:val="00D6165B"/>
    <w:rsid w:val="00D61B51"/>
    <w:rsid w:val="00D61E5B"/>
    <w:rsid w:val="00D778A2"/>
    <w:rsid w:val="00D81484"/>
    <w:rsid w:val="00D82535"/>
    <w:rsid w:val="00D84CD6"/>
    <w:rsid w:val="00D86326"/>
    <w:rsid w:val="00D8683D"/>
    <w:rsid w:val="00D8731E"/>
    <w:rsid w:val="00D877F7"/>
    <w:rsid w:val="00D9545B"/>
    <w:rsid w:val="00D95FB9"/>
    <w:rsid w:val="00D9700B"/>
    <w:rsid w:val="00DA40D5"/>
    <w:rsid w:val="00DA4AEA"/>
    <w:rsid w:val="00DB0D38"/>
    <w:rsid w:val="00DB25AD"/>
    <w:rsid w:val="00DB5078"/>
    <w:rsid w:val="00DB7887"/>
    <w:rsid w:val="00DB7F13"/>
    <w:rsid w:val="00DC0D6A"/>
    <w:rsid w:val="00DC2410"/>
    <w:rsid w:val="00DC3A15"/>
    <w:rsid w:val="00DC6FE0"/>
    <w:rsid w:val="00DD3FBE"/>
    <w:rsid w:val="00DD443D"/>
    <w:rsid w:val="00DE35B9"/>
    <w:rsid w:val="00E044D8"/>
    <w:rsid w:val="00E04BB6"/>
    <w:rsid w:val="00E0544C"/>
    <w:rsid w:val="00E10FA7"/>
    <w:rsid w:val="00E13D9C"/>
    <w:rsid w:val="00E17E25"/>
    <w:rsid w:val="00E213F8"/>
    <w:rsid w:val="00E21848"/>
    <w:rsid w:val="00E2364A"/>
    <w:rsid w:val="00E25EF1"/>
    <w:rsid w:val="00E27CEB"/>
    <w:rsid w:val="00E3680A"/>
    <w:rsid w:val="00E418D0"/>
    <w:rsid w:val="00E41F72"/>
    <w:rsid w:val="00E4204C"/>
    <w:rsid w:val="00E451B4"/>
    <w:rsid w:val="00E45353"/>
    <w:rsid w:val="00E461F7"/>
    <w:rsid w:val="00E46972"/>
    <w:rsid w:val="00E50758"/>
    <w:rsid w:val="00E508EE"/>
    <w:rsid w:val="00E5455E"/>
    <w:rsid w:val="00E54705"/>
    <w:rsid w:val="00E55F25"/>
    <w:rsid w:val="00E568DB"/>
    <w:rsid w:val="00E627AD"/>
    <w:rsid w:val="00E6322F"/>
    <w:rsid w:val="00E6495A"/>
    <w:rsid w:val="00E66F65"/>
    <w:rsid w:val="00E67077"/>
    <w:rsid w:val="00E67D35"/>
    <w:rsid w:val="00E70741"/>
    <w:rsid w:val="00E70C9C"/>
    <w:rsid w:val="00E719B3"/>
    <w:rsid w:val="00E72A65"/>
    <w:rsid w:val="00E74438"/>
    <w:rsid w:val="00E7740D"/>
    <w:rsid w:val="00E80C6D"/>
    <w:rsid w:val="00E82081"/>
    <w:rsid w:val="00E8296E"/>
    <w:rsid w:val="00E83187"/>
    <w:rsid w:val="00E840D3"/>
    <w:rsid w:val="00E85A19"/>
    <w:rsid w:val="00E85DCA"/>
    <w:rsid w:val="00E876F9"/>
    <w:rsid w:val="00E87EE9"/>
    <w:rsid w:val="00E9030A"/>
    <w:rsid w:val="00E9624C"/>
    <w:rsid w:val="00E967E6"/>
    <w:rsid w:val="00EA3464"/>
    <w:rsid w:val="00EA74BA"/>
    <w:rsid w:val="00EB127A"/>
    <w:rsid w:val="00EB5439"/>
    <w:rsid w:val="00EB58B7"/>
    <w:rsid w:val="00EB7C5A"/>
    <w:rsid w:val="00EB7F7E"/>
    <w:rsid w:val="00EC29D5"/>
    <w:rsid w:val="00EC3031"/>
    <w:rsid w:val="00EC5C63"/>
    <w:rsid w:val="00ED2684"/>
    <w:rsid w:val="00ED3DBB"/>
    <w:rsid w:val="00EE2351"/>
    <w:rsid w:val="00EE238F"/>
    <w:rsid w:val="00EE5689"/>
    <w:rsid w:val="00EE61D4"/>
    <w:rsid w:val="00EF1ABA"/>
    <w:rsid w:val="00EF2FBE"/>
    <w:rsid w:val="00EF3557"/>
    <w:rsid w:val="00EF3770"/>
    <w:rsid w:val="00F01515"/>
    <w:rsid w:val="00F02E12"/>
    <w:rsid w:val="00F0553E"/>
    <w:rsid w:val="00F06B01"/>
    <w:rsid w:val="00F0730A"/>
    <w:rsid w:val="00F074BD"/>
    <w:rsid w:val="00F1044A"/>
    <w:rsid w:val="00F12604"/>
    <w:rsid w:val="00F13F0B"/>
    <w:rsid w:val="00F174F2"/>
    <w:rsid w:val="00F219EC"/>
    <w:rsid w:val="00F2277D"/>
    <w:rsid w:val="00F24D34"/>
    <w:rsid w:val="00F26CFE"/>
    <w:rsid w:val="00F31050"/>
    <w:rsid w:val="00F31B87"/>
    <w:rsid w:val="00F36048"/>
    <w:rsid w:val="00F37403"/>
    <w:rsid w:val="00F41237"/>
    <w:rsid w:val="00F416EF"/>
    <w:rsid w:val="00F43F84"/>
    <w:rsid w:val="00F44700"/>
    <w:rsid w:val="00F46FA6"/>
    <w:rsid w:val="00F51D06"/>
    <w:rsid w:val="00F531EB"/>
    <w:rsid w:val="00F5509A"/>
    <w:rsid w:val="00F57C8E"/>
    <w:rsid w:val="00F608EE"/>
    <w:rsid w:val="00F60D7F"/>
    <w:rsid w:val="00F62277"/>
    <w:rsid w:val="00F63CF2"/>
    <w:rsid w:val="00F65623"/>
    <w:rsid w:val="00F6738A"/>
    <w:rsid w:val="00F71A64"/>
    <w:rsid w:val="00F74471"/>
    <w:rsid w:val="00F74F8E"/>
    <w:rsid w:val="00F77EAC"/>
    <w:rsid w:val="00F828EF"/>
    <w:rsid w:val="00F82FAF"/>
    <w:rsid w:val="00F8326B"/>
    <w:rsid w:val="00F938BA"/>
    <w:rsid w:val="00F9416E"/>
    <w:rsid w:val="00F943B5"/>
    <w:rsid w:val="00F960EC"/>
    <w:rsid w:val="00F96121"/>
    <w:rsid w:val="00FA15EC"/>
    <w:rsid w:val="00FA199F"/>
    <w:rsid w:val="00FA21AD"/>
    <w:rsid w:val="00FA3B3E"/>
    <w:rsid w:val="00FA5693"/>
    <w:rsid w:val="00FA6E40"/>
    <w:rsid w:val="00FB05AE"/>
    <w:rsid w:val="00FB06E0"/>
    <w:rsid w:val="00FB5548"/>
    <w:rsid w:val="00FB5623"/>
    <w:rsid w:val="00FB6A74"/>
    <w:rsid w:val="00FC2B42"/>
    <w:rsid w:val="00FC30A9"/>
    <w:rsid w:val="00FD1922"/>
    <w:rsid w:val="00FE1229"/>
    <w:rsid w:val="00FE599C"/>
    <w:rsid w:val="00FE76DE"/>
    <w:rsid w:val="00FF3FDB"/>
    <w:rsid w:val="00FF5E03"/>
    <w:rsid w:val="00F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3B6BB"/>
  <w15:docId w15:val="{BE604C5B-83D6-4062-B645-19E37DE9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4BA"/>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C4018B"/>
    <w:rPr>
      <w:rFonts w:ascii="宋体" w:eastAsia="宋体" w:hAnsi="宋体" w:hint="eastAsia"/>
      <w:b w:val="0"/>
      <w:bCs w:val="0"/>
      <w:i w:val="0"/>
      <w:iCs w:val="0"/>
      <w:color w:val="000000"/>
      <w:sz w:val="28"/>
      <w:szCs w:val="28"/>
    </w:rPr>
  </w:style>
  <w:style w:type="character" w:styleId="ac">
    <w:name w:val="annotation reference"/>
    <w:basedOn w:val="a0"/>
    <w:uiPriority w:val="99"/>
    <w:semiHidden/>
    <w:unhideWhenUsed/>
    <w:rsid w:val="00E9624C"/>
    <w:rPr>
      <w:sz w:val="21"/>
      <w:szCs w:val="21"/>
    </w:rPr>
  </w:style>
  <w:style w:type="paragraph" w:styleId="ad">
    <w:name w:val="annotation text"/>
    <w:basedOn w:val="a"/>
    <w:link w:val="ae"/>
    <w:uiPriority w:val="99"/>
    <w:semiHidden/>
    <w:unhideWhenUsed/>
    <w:rsid w:val="00E9624C"/>
    <w:pPr>
      <w:jc w:val="left"/>
    </w:pPr>
  </w:style>
  <w:style w:type="character" w:customStyle="1" w:styleId="ae">
    <w:name w:val="批注文字 字符"/>
    <w:basedOn w:val="a0"/>
    <w:link w:val="ad"/>
    <w:uiPriority w:val="99"/>
    <w:semiHidden/>
    <w:rsid w:val="00E9624C"/>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E9624C"/>
    <w:rPr>
      <w:b/>
      <w:bCs/>
    </w:rPr>
  </w:style>
  <w:style w:type="character" w:customStyle="1" w:styleId="af0">
    <w:name w:val="批注主题 字符"/>
    <w:basedOn w:val="ae"/>
    <w:link w:val="af"/>
    <w:uiPriority w:val="99"/>
    <w:semiHidden/>
    <w:rsid w:val="00E9624C"/>
    <w:rPr>
      <w:rFonts w:ascii="Times New Roman" w:eastAsia="宋体" w:hAnsi="Times New Roman" w:cs="Times New Roman"/>
      <w:b/>
      <w:bCs/>
      <w:szCs w:val="24"/>
    </w:rPr>
  </w:style>
  <w:style w:type="paragraph" w:styleId="af1">
    <w:name w:val="Revision"/>
    <w:hidden/>
    <w:uiPriority w:val="99"/>
    <w:semiHidden/>
    <w:rsid w:val="00C05D5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9F5D9-E40D-4F02-B71A-3EF17986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3</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kmq</dc:creator>
  <cp:lastModifiedBy>周玲</cp:lastModifiedBy>
  <cp:revision>164</cp:revision>
  <cp:lastPrinted>2021-07-21T07:12:00Z</cp:lastPrinted>
  <dcterms:created xsi:type="dcterms:W3CDTF">2024-11-20T01:27:00Z</dcterms:created>
  <dcterms:modified xsi:type="dcterms:W3CDTF">2025-01-07T09:01:00Z</dcterms:modified>
</cp:coreProperties>
</file>